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3"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5084445</wp:posOffset>
            </wp:positionH>
            <wp:positionV relativeFrom="page">
              <wp:posOffset>472440</wp:posOffset>
            </wp:positionV>
            <wp:extent cx="2116455" cy="4673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2116455" cy="467360"/>
                    </a:xfrm>
                    <a:prstGeom prst="rect">
                      <a:avLst/>
                    </a:prstGeom>
                    <a:noFill/>
                  </pic:spPr>
                </pic:pic>
              </a:graphicData>
            </a:graphic>
          </wp:anchor>
        </w:drawing>
      </w:r>
    </w:p>
    <w:p>
      <w:pPr xmlns:w="http://schemas.openxmlformats.org/wordprocessingml/2006/main">
        <w:spacing w:after="0"/>
        <w:rPr>
          <w:sz w:val="20"/>
          <w:szCs w:val="20"/>
          <w:color w:val="auto"/>
        </w:rPr>
      </w:pPr>
      <w:r>
        <w:rPr xmlns:w="http://schemas.openxmlformats.org/wordprocessingml/2006/main">
          <w:rFonts w:ascii="Arial" w:cs="Arial" w:eastAsia="Arial" w:hAnsi="Arial"/>
          <w:sz w:val="32"/>
          <w:szCs w:val="32"/>
          <w:color w:val="auto"/>
        </w:rPr>
        <w:t xml:space="preserve">Kluczowe Informacje Dla Inwestorów</w:t>
      </w:r>
    </w:p>
    <w:p>
      <w:pPr>
        <w:spacing w:after="0" w:line="275" w:lineRule="exact"/>
        <w:rPr>
          <w:sz w:val="24"/>
          <w:szCs w:val="24"/>
          <w:color w:val="auto"/>
        </w:rPr>
      </w:pPr>
    </w:p>
    <w:p>
      <w:pPr xmlns:w="http://schemas.openxmlformats.org/wordprocessingml/2006/main">
        <w:ind w:right="40"/>
        <w:spacing w:after="0" w:line="306" w:lineRule="auto"/>
        <w:rPr>
          <w:sz w:val="20"/>
          <w:szCs w:val="20"/>
          <w:color w:val="auto"/>
        </w:rPr>
      </w:pPr>
      <w:r>
        <w:rPr xmlns:w="http://schemas.openxmlformats.org/wordprocessingml/2006/main">
          <w:rFonts w:ascii="Arial" w:cs="Arial" w:eastAsia="Arial" w:hAnsi="Arial"/>
          <w:sz w:val="15"/>
          <w:szCs w:val="15"/>
          <w:color w:val="auto"/>
        </w:rPr>
        <w:t xml:space="preserve">Niniejszy dokument zawiera kluczowe informacje dla inwestorów na temat tego funduszu.</w:t>
      </w:r>
      <w:r>
        <w:rPr xmlns:w="http://schemas.openxmlformats.org/wordprocessingml/2006/main">
          <w:rFonts w:ascii="Arial" w:cs="Arial" w:eastAsia="Arial" w:hAnsi="Arial"/>
          <w:sz w:val="15"/>
          <w:szCs w:val="15"/>
          <w:color w:val="auto"/>
        </w:rPr>
        <w:t xml:space="preserve"> Nie jest to materiał marketingowy.</w:t>
      </w:r>
      <w:r>
        <w:rPr xmlns:w="http://schemas.openxmlformats.org/wordprocessingml/2006/main">
          <w:rFonts w:ascii="Arial" w:cs="Arial" w:eastAsia="Arial" w:hAnsi="Arial"/>
          <w:sz w:val="15"/>
          <w:szCs w:val="15"/>
          <w:color w:val="auto"/>
        </w:rPr>
        <w:t xml:space="preserve"> Informacje te są wymagane przez prawo, aby pomóc Ci zrozumieć charakter i ryzyko inwestowania w ten fundusz.</w:t>
      </w:r>
      <w:r>
        <w:rPr xmlns:w="http://schemas.openxmlformats.org/wordprocessingml/2006/main">
          <w:rFonts w:ascii="Arial" w:cs="Arial" w:eastAsia="Arial" w:hAnsi="Arial"/>
          <w:sz w:val="15"/>
          <w:szCs w:val="15"/>
          <w:color w:val="auto"/>
        </w:rPr>
        <w:t xml:space="preserve"> Zachęcamy do zapoznania się z nią, aby móc podjąć świadomą decyzję o ewentualnej inwestycji.</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-126365</wp:posOffset>
                </wp:positionH>
                <wp:positionV relativeFrom="paragraph">
                  <wp:posOffset>64135</wp:posOffset>
                </wp:positionV>
                <wp:extent cx="7098665" cy="58420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7098665" cy="584200"/>
                        </a:xfrm>
                        <a:prstGeom prst="rect">
                          <a:avLst/>
                        </a:prstGeom>
                        <a:solidFill>
                          <a:srgbClr val="E2E2E2"/>
                        </a:solidFill>
                      </wps:spPr>
                      <wps:bodyPr/>
                    </wps:wsp>
                  </a:graphicData>
                </a:graphic>
              </wp:anchor>
            </w:drawing>
          </mc:Choice>
          <mc:Fallback>
            <w:pict>
              <v:rect id="Shape 2" o:spid="_x0000_s1027" style="position:absolute;margin-left:-9.9499pt;margin-top:5.05pt;width:558.95pt;height:46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E2E2E2" stroked="f"/>
            </w:pict>
          </mc:Fallback>
        </mc:AlternateContent>
      </w:r>
    </w:p>
    <w:p>
      <w:pPr>
        <w:sectPr>
          <w:pgSz w:w="11900" w:h="16843" w:orient="portrait"/>
          <w:cols w:equalWidth="0" w:num="1">
            <w:col w:w="10640"/>
          </w:cols>
          <w:pgMar w:left="560" w:top="969" w:right="700" w:bottom="0" w:gutter="0" w:footer="0" w:header="0"/>
        </w:sectPr>
      </w:pPr>
    </w:p>
    <w:p>
      <w:pPr>
        <w:spacing w:after="0" w:line="150" w:lineRule="exact"/>
        <w:rPr>
          <w:sz w:val="24"/>
          <w:szCs w:val="24"/>
          <w:color w:val="auto"/>
        </w:rPr>
      </w:pPr>
    </w:p>
    <w:p>
      <w:pPr xmlns:w="http://schemas.openxmlformats.org/wordprocessingml/2006/main">
        <w:ind w:right="520"/>
        <w:spacing w:after="0" w:line="252" w:lineRule="auto"/>
        <w:rPr>
          <w:sz w:val="20"/>
          <w:szCs w:val="20"/>
          <w:color w:val="auto"/>
        </w:rPr>
      </w:pPr>
      <w:r>
        <w:rPr xmlns:w="http://schemas.openxmlformats.org/wordprocessingml/2006/main">
          <w:rFonts w:ascii="Arial" w:cs="Arial" w:eastAsia="Arial" w:hAnsi="Arial"/>
          <w:sz w:val="24"/>
          <w:szCs w:val="24"/>
          <w:b w:val="1"/>
          <w:bCs w:val="1"/>
          <w:color w:val="231F20"/>
        </w:rPr>
        <w:t xml:space="preserve">Vanguard FTSE All-World UCITS ETF ("Fundusz")</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231F20"/>
        </w:rPr>
        <w:t xml:space="preserve">Subfundusz Vanguard Funds PLC</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34"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(USD) Narastająco</w:t>
      </w:r>
    </w:p>
    <w:p>
      <w:pPr>
        <w:spacing w:after="0" w:line="46"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ISIN: IE00BK5BQT80</w:t>
      </w:r>
    </w:p>
    <w:p>
      <w:pPr>
        <w:spacing w:after="0" w:line="13"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15"/>
          <w:szCs w:val="15"/>
          <w:color w:val="231F20"/>
        </w:rPr>
        <w:t xml:space="preserve">Kierownik: Vanguard Group (Ireland) Limited ("VGIL")</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-3454400</wp:posOffset>
                </wp:positionH>
                <wp:positionV relativeFrom="paragraph">
                  <wp:posOffset>267335</wp:posOffset>
                </wp:positionV>
                <wp:extent cx="6845300"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3" o:spid="_x0000_s102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pt,21.05pt" to="267pt,21.05pt" o:allowincell="f" strokecolor="#231F20" strokeweight="0.4pt"/>
            </w:pict>
          </mc:Fallback>
        </mc:AlternateContent>
      </w:r>
    </w:p>
    <w:p>
      <w:pPr>
        <w:spacing w:after="0" w:line="338" w:lineRule="exact"/>
        <w:rPr>
          <w:sz w:val="24"/>
          <w:szCs w:val="24"/>
          <w:color w:val="auto"/>
        </w:rPr>
      </w:pPr>
    </w:p>
    <w:p>
      <w:pPr>
        <w:sectPr>
          <w:pgSz w:w="11900" w:h="16843" w:orient="portrait"/>
          <w:cols w:equalWidth="0" w:num="2">
            <w:col w:w="4720" w:space="720"/>
            <w:col w:w="5200"/>
          </w:cols>
          <w:pgMar w:left="560" w:top="969" w:right="700" w:bottom="0" w:gutter="0" w:footer="0" w:header="0"/>
          <w:type w:val="continuous"/>
        </w:sectPr>
      </w:pPr>
    </w:p>
    <w:p>
      <w:pPr>
        <w:spacing w:after="0" w:line="16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4"/>
          <w:szCs w:val="24"/>
          <w:color w:val="231F20"/>
        </w:rPr>
        <w:t xml:space="preserve">Cele i polityka inwestycyjna</w:t>
      </w:r>
    </w:p>
    <w:p>
      <w:pPr>
        <w:spacing w:after="0" w:line="138" w:lineRule="exact"/>
        <w:rPr>
          <w:sz w:val="24"/>
          <w:szCs w:val="24"/>
          <w:color w:val="auto"/>
        </w:rPr>
      </w:pPr>
    </w:p>
    <w:p>
      <w:pPr xmlns:w="http://schemas.openxmlformats.org/wordprocessingml/2006/main">
        <w:jc w:val="both"/>
        <w:ind w:left="140" w:hanging="139"/>
        <w:spacing w:after="0" w:line="232" w:lineRule="auto"/>
        <w:rPr>
          <w:sz w:val="20"/>
          <w:szCs w:val="20"/>
          <w:color w:val="auto"/>
        </w:rPr>
      </w:pPr>
      <w:r>
        <w:rPr xmlns:w="http://schemas.openxmlformats.org/wordprocessingml/2006/main">
          <w:rFonts w:ascii="Arial" w:cs="Arial" w:eastAsia="Arial" w:hAnsi="Arial"/>
          <w:sz w:val="16"/>
          <w:szCs w:val="16"/>
          <w:color w:val="231F20"/>
        </w:rPr>
        <w:t xml:space="preserve">2 Fundusz stosuje podejście inwestycyjne polegające na biernym zarządzaniu - lub indeksacji - poprzez fizyczne nabywanie papierów wartościowych i dąży do śledzenia wyników FTSE All-World Index ("Indeks").</w:t>
      </w:r>
    </w:p>
    <w:p>
      <w:pPr>
        <w:spacing w:after="0" w:line="1" w:lineRule="exact"/>
        <w:rPr>
          <w:sz w:val="24"/>
          <w:szCs w:val="24"/>
          <w:color w:val="auto"/>
        </w:rPr>
      </w:pPr>
    </w:p>
    <w:p>
      <w:pPr xmlns:w="http://schemas.openxmlformats.org/wordprocessingml/2006/main">
        <w:jc w:val="both"/>
        <w:ind w:left="140" w:hanging="139"/>
        <w:spacing w:after="0" w:line="234" w:lineRule="auto"/>
        <w:rPr>
          <w:sz w:val="20"/>
          <w:szCs w:val="20"/>
          <w:color w:val="auto"/>
        </w:rPr>
      </w:pPr>
      <w:r>
        <w:rPr xmlns:w="http://schemas.openxmlformats.org/wordprocessingml/2006/main">
          <w:rFonts w:ascii="Arial" w:cs="Arial" w:eastAsia="Arial" w:hAnsi="Arial"/>
          <w:sz w:val="16"/>
          <w:szCs w:val="16"/>
          <w:color w:val="231F20"/>
        </w:rPr>
        <w:t xml:space="preserve">2 Na Indeks składają się akcje dużych i średnich spółek z rynków rozwiniętych i wschodzących.</w:t>
      </w:r>
    </w:p>
    <w:p>
      <w:pPr>
        <w:spacing w:after="0" w:line="1" w:lineRule="exact"/>
        <w:rPr>
          <w:sz w:val="24"/>
          <w:szCs w:val="24"/>
          <w:color w:val="auto"/>
        </w:rPr>
      </w:pPr>
    </w:p>
    <w:p>
      <w:pPr xmlns:w="http://schemas.openxmlformats.org/wordprocessingml/2006/main">
        <w:ind w:left="140" w:hanging="140"/>
        <w:spacing w:after="0"/>
        <w:tabs>
          <w:tab w:leader="none" w:pos="140" w:val="left"/>
        </w:tabs>
        <w:numPr>
          <w:ilvl w:val="0"/>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Fundusz stara się:</w:t>
      </w:r>
    </w:p>
    <w:p>
      <w:pPr>
        <w:spacing w:after="0" w:line="9" w:lineRule="exact"/>
        <w:rPr>
          <w:rFonts w:ascii="Arial" w:cs="Arial" w:eastAsia="Arial" w:hAnsi="Arial"/>
          <w:sz w:val="16"/>
          <w:szCs w:val="16"/>
          <w:color w:val="231F20"/>
        </w:rPr>
      </w:pPr>
    </w:p>
    <w:p>
      <w:pPr xmlns:w="http://schemas.openxmlformats.org/wordprocessingml/2006/main">
        <w:ind w:left="140"/>
        <w:spacing w:after="0" w:line="208" w:lineRule="auto"/>
        <w:tabs>
          <w:tab w:leader="none" w:pos="329" w:val="left"/>
        </w:tabs>
        <w:numPr>
          <w:ilvl w:val="1"/>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Śledzenie wyników Indeksu poprzez inwestowanie w reprezentatywną próbę papierów wartościowych wchodzących w skład Indeksu.</w:t>
      </w:r>
    </w:p>
    <w:p>
      <w:pPr>
        <w:spacing w:after="0" w:line="1" w:lineRule="exact"/>
        <w:rPr>
          <w:rFonts w:ascii="Arial" w:cs="Arial" w:eastAsia="Arial" w:hAnsi="Arial"/>
          <w:sz w:val="16"/>
          <w:szCs w:val="16"/>
          <w:color w:val="231F20"/>
        </w:rPr>
      </w:pPr>
    </w:p>
    <w:p>
      <w:pPr xmlns:w="http://schemas.openxmlformats.org/wordprocessingml/2006/main">
        <w:jc w:val="both"/>
        <w:ind w:left="140"/>
        <w:spacing w:after="0" w:line="211" w:lineRule="auto"/>
        <w:tabs>
          <w:tab w:leader="none" w:pos="303" w:val="left"/>
        </w:tabs>
        <w:numPr>
          <w:ilvl w:val="1"/>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Pozostają w pełni zainwestowane, z wyjątkiem nadzwyczajnych warunków rynkowych, politycznych lub podobnych, w których Fundusz może tymczasowo odstąpić od tej polityki inwestycyjnej w celu uniknięcia strat.</w:t>
      </w:r>
    </w:p>
    <w:p>
      <w:pPr>
        <w:spacing w:after="0" w:line="1" w:lineRule="exact"/>
        <w:rPr>
          <w:sz w:val="24"/>
          <w:szCs w:val="24"/>
          <w:color w:val="auto"/>
        </w:rPr>
      </w:pPr>
    </w:p>
    <w:p>
      <w:pPr xmlns:w="http://schemas.openxmlformats.org/wordprocessingml/2006/main">
        <w:jc w:val="both"/>
        <w:ind w:left="140" w:hanging="139"/>
        <w:spacing w:after="0" w:line="221" w:lineRule="auto"/>
        <w:rPr>
          <w:sz w:val="20"/>
          <w:szCs w:val="20"/>
          <w:color w:val="auto"/>
        </w:rPr>
      </w:pPr>
      <w:r>
        <w:rPr xmlns:w="http://schemas.openxmlformats.org/wordprocessingml/2006/main">
          <w:rFonts w:ascii="Arial" w:cs="Arial" w:eastAsia="Arial" w:hAnsi="Arial"/>
          <w:sz w:val="16"/>
          <w:szCs w:val="16"/>
          <w:color w:val="231F20"/>
        </w:rPr>
        <w:t xml:space="preserve">2 Fundusz może wykorzystywać instrumenty pochodne w celu zmniejszenia ryzyka lub kosztów i/lub generowania dodatkowych dochodów lub wzrostu.</w:t>
      </w:r>
      <w:r>
        <w:rPr xmlns:w="http://schemas.openxmlformats.org/wordprocessingml/2006/main">
          <w:rFonts w:ascii="Arial" w:cs="Arial" w:eastAsia="Arial" w:hAnsi="Arial"/>
          <w:sz w:val="16"/>
          <w:szCs w:val="16"/>
          <w:color w:val="231F20"/>
        </w:rPr>
        <w:t xml:space="preserve"> Instrument pochodny to kontrakt finansowy, którego wartość opiera się na wartości składnika aktywów finansowych (takiego jak akcja, obligacja lub waluta) lub indeksie rynkowym.</w:t>
      </w:r>
    </w:p>
    <w:p>
      <w:pPr>
        <w:spacing w:after="0" w:line="2" w:lineRule="exact"/>
        <w:rPr>
          <w:sz w:val="24"/>
          <w:szCs w:val="24"/>
          <w:color w:val="auto"/>
        </w:rPr>
      </w:pPr>
    </w:p>
    <w:p>
      <w:pPr xmlns:w="http://schemas.openxmlformats.org/wordprocessingml/2006/main">
        <w:ind w:left="140" w:hanging="140"/>
        <w:spacing w:after="0"/>
        <w:tabs>
          <w:tab w:leader="none" w:pos="140" w:val="left"/>
        </w:tabs>
        <w:numPr>
          <w:ilvl w:val="0"/>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Walutą bazową Funduszu jest USD.</w:t>
      </w:r>
    </w:p>
    <w:p>
      <w:pPr>
        <w:spacing w:after="0" w:line="16" w:lineRule="exact"/>
        <w:rPr>
          <w:sz w:val="24"/>
          <w:szCs w:val="24"/>
          <w:color w:val="auto"/>
        </w:rPr>
      </w:pPr>
    </w:p>
    <w:p>
      <w:pPr xmlns:w="http://schemas.openxmlformats.org/wordprocessingml/2006/main">
        <w:jc w:val="both"/>
        <w:ind w:left="140" w:hanging="140"/>
        <w:spacing w:after="0" w:line="226" w:lineRule="auto"/>
        <w:tabs>
          <w:tab w:leader="none" w:pos="140" w:val="left"/>
        </w:tabs>
        <w:numPr>
          <w:ilvl w:val="0"/>
          <w:numId w:val="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Fundusz może udzielać krótkoterminowych zabezpieczonych pożyczek na swoje inwestycje niektórym kwalifikującym się stronom trzecim.</w:t>
      </w:r>
      <w:r>
        <w:rPr xmlns:w="http://schemas.openxmlformats.org/wordprocessingml/2006/main">
          <w:rFonts w:ascii="Arial" w:cs="Arial" w:eastAsia="Arial" w:hAnsi="Arial"/>
          <w:sz w:val="16"/>
          <w:szCs w:val="16"/>
          <w:color w:val="231F20"/>
        </w:rPr>
        <w:t xml:space="preserve"> Środki te są wykorzystywane jako środek do generowania dodatkowych dochodów i kompensowania kosztów Funduszu.</w:t>
      </w:r>
    </w:p>
    <w:p>
      <w:pPr>
        <w:spacing w:after="0" w:line="2" w:lineRule="exact"/>
        <w:rPr>
          <w:sz w:val="24"/>
          <w:szCs w:val="24"/>
          <w:color w:val="auto"/>
        </w:rPr>
      </w:pPr>
    </w:p>
    <w:p>
      <w:pPr xmlns:w="http://schemas.openxmlformats.org/wordprocessingml/2006/main">
        <w:ind w:left="140" w:hanging="140"/>
        <w:spacing w:after="0"/>
        <w:tabs>
          <w:tab w:leader="none" w:pos="140" w:val="left"/>
        </w:tabs>
        <w:numPr>
          <w:ilvl w:val="0"/>
          <w:numId w:val="4"/>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Fundusz może nie być odpowiedni dla inwestycji krótkoterminowych.</w:t>
      </w:r>
    </w:p>
    <w:p>
      <w:pPr>
        <w:spacing w:after="0" w:line="16" w:lineRule="exact"/>
        <w:rPr>
          <w:sz w:val="24"/>
          <w:szCs w:val="24"/>
          <w:color w:val="auto"/>
        </w:rPr>
      </w:pPr>
    </w:p>
    <w:p>
      <w:pPr xmlns:w="http://schemas.openxmlformats.org/wordprocessingml/2006/main">
        <w:jc w:val="both"/>
        <w:ind w:left="140" w:hanging="140"/>
        <w:spacing w:after="0" w:line="226" w:lineRule="auto"/>
        <w:tabs>
          <w:tab w:leader="none" w:pos="140" w:val="left"/>
        </w:tabs>
        <w:numPr>
          <w:ilvl w:val="0"/>
          <w:numId w:val="5"/>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Ta klasa akcji jest kumulującą się klasą akcji, a Dyrektorzy nie zamierzają deklarować dywidendy.</w:t>
      </w:r>
      <w:r>
        <w:rPr xmlns:w="http://schemas.openxmlformats.org/wordprocessingml/2006/main">
          <w:rFonts w:ascii="Arial" w:cs="Arial" w:eastAsia="Arial" w:hAnsi="Arial"/>
          <w:sz w:val="16"/>
          <w:szCs w:val="16"/>
          <w:color w:val="231F20"/>
        </w:rPr>
        <w:t xml:space="preserve"> Przychody będą reinwestowane i odzwierciedlone w cenie akcji Funduszu.</w:t>
      </w:r>
    </w:p>
    <w:p>
      <w:pPr xmlns:w="http://schemas.openxmlformats.org/wordprocessingml/2006/main">
        <w:jc w:val="both"/>
        <w:ind w:left="140" w:hanging="139"/>
        <w:spacing w:after="0" w:line="219" w:lineRule="auto"/>
        <w:rPr>
          <w:sz w:val="20"/>
          <w:szCs w:val="20"/>
          <w:color w:val="auto"/>
        </w:rPr>
      </w:pPr>
      <w:r>
        <w:rPr xmlns:w="http://schemas.openxmlformats.org/wordprocessingml/2006/main">
          <w:rFonts w:ascii="Arial" w:cs="Arial" w:eastAsia="Arial" w:hAnsi="Arial"/>
          <w:sz w:val="16"/>
          <w:szCs w:val="16"/>
          <w:color w:val="231F20"/>
        </w:rPr>
        <w:t xml:space="preserve">2 Akcje ETF są notowane na jednej lub kilku giełdach (giełdach).</w:t>
      </w:r>
      <w:r>
        <w:rPr xmlns:w="http://schemas.openxmlformats.org/wordprocessingml/2006/main">
          <w:rFonts w:ascii="Arial" w:cs="Arial" w:eastAsia="Arial" w:hAnsi="Arial"/>
          <w:sz w:val="16"/>
          <w:szCs w:val="16"/>
          <w:color w:val="231F20"/>
        </w:rPr>
        <w:t xml:space="preserve"> Z zastrzeżeniem pewnych wyjątków określonych w prospekcie emisyjnym inwestorzy, którzy nie są uprawnionymi uczestnikami, mogą sprzedawać Akcje ETF wyłącznie za pośrednictwem spółki będącej członkiem odpowiedniej giełdy w dowolnym momencie, gdy ta giełda jest otwarta na prowadzenie działalności.</w:t>
      </w:r>
    </w:p>
    <w:p>
      <w:pPr>
        <w:spacing w:after="0" w:line="1" w:lineRule="exact"/>
        <w:rPr>
          <w:sz w:val="24"/>
          <w:szCs w:val="24"/>
          <w:color w:val="auto"/>
        </w:rPr>
      </w:pPr>
    </w:p>
    <w:p>
      <w:pPr xmlns:w="http://schemas.openxmlformats.org/wordprocessingml/2006/main">
        <w:ind w:left="140" w:hanging="140"/>
        <w:spacing w:after="0"/>
        <w:tabs>
          <w:tab w:leader="none" w:pos="140" w:val="left"/>
        </w:tabs>
        <w:numPr>
          <w:ilvl w:val="0"/>
          <w:numId w:val="6"/>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Koszty transakcji portfelowych będą miały wpływ na wyniki.</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200" w:lineRule="exact"/>
        <w:rPr>
          <w:sz w:val="24"/>
          <w:szCs w:val="24"/>
          <w:color w:val="auto"/>
        </w:rPr>
      </w:pPr>
    </w:p>
    <w:p>
      <w:pPr>
        <w:spacing w:after="0" w:line="355" w:lineRule="exact"/>
        <w:rPr>
          <w:sz w:val="24"/>
          <w:szCs w:val="24"/>
          <w:color w:val="auto"/>
        </w:rPr>
      </w:pPr>
    </w:p>
    <w:p>
      <w:pPr xmlns:w="http://schemas.openxmlformats.org/wordprocessingml/2006/main">
        <w:ind w:left="140" w:hanging="140"/>
        <w:spacing w:after="0" w:line="255" w:lineRule="auto"/>
        <w:tabs>
          <w:tab w:leader="none" w:pos="140" w:val="left"/>
        </w:tabs>
        <w:numPr>
          <w:ilvl w:val="0"/>
          <w:numId w:val="7"/>
        </w:numPr>
        <w:rPr>
          <w:rFonts w:ascii="Arial" w:cs="Arial" w:eastAsia="Arial" w:hAnsi="Arial"/>
          <w:sz w:val="14"/>
          <w:szCs w:val="14"/>
          <w:color w:val="231F20"/>
        </w:rPr>
      </w:pPr>
      <w:r>
        <w:rPr xmlns:w="http://schemas.openxmlformats.org/wordprocessingml/2006/main">
          <w:rFonts w:ascii="Arial" w:cs="Arial" w:eastAsia="Arial" w:hAnsi="Arial"/>
          <w:sz w:val="14"/>
          <w:szCs w:val="14"/>
          <w:color w:val="231F20"/>
        </w:rPr>
        <w:t xml:space="preserve">Akcje Funduszu mogą być nabywane lub zbywane codziennie (z wyjątkiem określonych dni świątecznych lub świątecznych oraz z zastrzeżeniem określonych ograniczeń opisanych w Suplemencie) poprzez złożenie wniosku w formie pisemnej lub telefonicznej.</w:t>
      </w:r>
      <w:r>
        <w:rPr xmlns:w="http://schemas.openxmlformats.org/wordprocessingml/2006/main">
          <w:rFonts w:ascii="Arial" w:cs="Arial" w:eastAsia="Arial" w:hAnsi="Arial"/>
          <w:sz w:val="14"/>
          <w:szCs w:val="14"/>
          <w:color w:val="231F20"/>
        </w:rPr>
        <w:t xml:space="preserve"> Wykaz dni, w których nie można nabyć lub zbyć akcji Funduszu znajduje się na stronie https://global.vanguard.com/portal/site/loadPDF?country=global&amp;docId=11628</w:t>
      </w:r>
    </w:p>
    <w:p>
      <w:pPr>
        <w:spacing w:after="0" w:line="159" w:lineRule="exact"/>
        <w:rPr>
          <w:sz w:val="24"/>
          <w:szCs w:val="24"/>
          <w:color w:val="auto"/>
        </w:rPr>
      </w:pPr>
    </w:p>
    <w:p>
      <w:pPr xmlns:w="http://schemas.openxmlformats.org/wordprocessingml/2006/main">
        <w:jc w:val="both"/>
        <w:spacing w:after="0"/>
        <w:rPr>
          <w:sz w:val="20"/>
          <w:szCs w:val="20"/>
          <w:color w:val="auto"/>
        </w:rPr>
      </w:pPr>
      <w:r>
        <w:rPr xmlns:w="http://schemas.openxmlformats.org/wordprocessingml/2006/main">
          <w:rFonts w:ascii="Arial" w:cs="Arial" w:eastAsia="Arial" w:hAnsi="Arial"/>
          <w:sz w:val="15"/>
          <w:szCs w:val="15"/>
          <w:b w:val="1"/>
          <w:bCs w:val="1"/>
          <w:color w:val="231F20"/>
        </w:rPr>
        <w:t xml:space="preserve">Więcej informacji o celach i polityce inwestycyjnej Funduszu, a także o ograniczonych relacjach z dostawcą Indeksu znajduje się w Załączniku nr 1 oraz Załączniku nr 6 do Prospektu emisyjnego Vanguard Funds plc ("Prospekt") na naszej stronie internetowej pod adresem</w:t>
      </w:r>
      <w:r>
        <w:rPr xmlns:w="http://schemas.openxmlformats.org/wordprocessingml/2006/main">
          <w:rFonts w:ascii="Arial" w:cs="Arial" w:eastAsia="Arial" w:hAnsi="Arial"/>
          <w:sz w:val="15"/>
          <w:szCs w:val="15"/>
          <w:color w:val="231F20"/>
        </w:rPr>
        <w:t xml:space="preserve"> https://global.vanguard.com</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-3454400</wp:posOffset>
                </wp:positionH>
                <wp:positionV relativeFrom="paragraph">
                  <wp:posOffset>2299970</wp:posOffset>
                </wp:positionV>
                <wp:extent cx="6845300"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4" o:spid="_x0000_s1029"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pt,181.1pt" to="267pt,181.1pt" o:allowincell="f" strokecolor="#231F20" strokeweight="0.4pt"/>
            </w:pict>
          </mc:Fallback>
        </mc:AlternateContent>
      </w:r>
    </w:p>
    <w:p>
      <w:pPr>
        <w:spacing w:after="0" w:line="3536" w:lineRule="exact"/>
        <w:rPr>
          <w:sz w:val="24"/>
          <w:szCs w:val="24"/>
          <w:color w:val="auto"/>
        </w:rPr>
      </w:pPr>
    </w:p>
    <w:p>
      <w:pPr>
        <w:sectPr>
          <w:pgSz w:w="11900" w:h="16843" w:orient="portrait"/>
          <w:cols w:equalWidth="0" w:num="2">
            <w:col w:w="5200" w:space="240"/>
            <w:col w:w="5200"/>
          </w:cols>
          <w:pgMar w:left="560" w:top="969" w:right="700" w:bottom="0" w:gutter="0" w:footer="0" w:header="0"/>
          <w:type w:val="continuous"/>
        </w:sectPr>
      </w:pPr>
    </w:p>
    <w:p>
      <w:pPr>
        <w:spacing w:after="0" w:line="163"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Arial" w:cs="Arial" w:eastAsia="Arial" w:hAnsi="Arial"/>
          <w:sz w:val="24"/>
          <w:szCs w:val="24"/>
          <w:color w:val="231F20"/>
        </w:rPr>
        <w:t xml:space="preserve">Profil ryzyka i zysku</w:t>
      </w:r>
    </w:p>
    <w:p>
      <w:pPr>
        <w:spacing w:after="0" w:line="163" w:lineRule="exact"/>
        <w:rPr>
          <w:sz w:val="24"/>
          <w:szCs w:val="24"/>
          <w:color w:val="auto"/>
        </w:rPr>
      </w:pPr>
    </w:p>
    <w:tbl>
      <w:tblPr>
        <w:tblLayout w:type="fixed"/>
        <w:tblInd w:w="200" w:type="dxa"/>
        <w:tblCellMar>
          <w:top w:w="0" w:type="dxa"/>
          <w:left w:w="0" w:type="dxa"/>
          <w:bottom w:w="0" w:type="dxa"/>
          <w:right w:w="0" w:type="dxa"/>
        </w:tblCellMar>
      </w:tblPr>
      <w:tr>
        <w:trPr>
          <w:trHeight w:val="188"/>
        </w:trPr>
        <w:tc>
          <w:tcPr>
            <w:tcW w:w="76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Niższe ryzyko</w:t>
            </w:r>
          </w:p>
        </w:tc>
        <w:tc>
          <w:tcPr>
            <w:tcW w:w="78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1080" w:type="dxa"/>
            <w:vAlign w:val="bottom"/>
            <w:gridSpan w:val="2"/>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231F20"/>
              </w:rPr>
              <w:t xml:space="preserve">Wyższe ryzyko</w:t>
            </w:r>
          </w:p>
        </w:tc>
        <w:tc>
          <w:tcPr>
            <w:tcW w:w="160" w:type="dxa"/>
            <w:vAlign w:val="bottom"/>
          </w:tcPr>
          <w:p>
            <w:pPr>
              <w:spacing w:after="0"/>
              <w:rPr>
                <w:sz w:val="16"/>
                <w:szCs w:val="16"/>
                <w:color w:val="auto"/>
              </w:rPr>
            </w:pPr>
          </w:p>
        </w:tc>
      </w:tr>
      <w:tr>
        <w:trPr>
          <w:trHeight w:val="264"/>
        </w:trPr>
        <w:tc>
          <w:tcPr>
            <w:tcW w:w="1540" w:type="dxa"/>
            <w:vAlign w:val="bottom"/>
            <w:gridSpan w:val="2"/>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Zazwyczaj niższe nagrody</w:t>
            </w:r>
          </w:p>
        </w:tc>
        <w:tc>
          <w:tcPr>
            <w:tcW w:w="5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1800" w:type="dxa"/>
            <w:vAlign w:val="bottom"/>
            <w:gridSpan w:val="3"/>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231F20"/>
              </w:rPr>
              <w:t xml:space="preserve">Zwykle wyższe nagrody</w:t>
            </w:r>
          </w:p>
        </w:tc>
        <w:tc>
          <w:tcPr>
            <w:tcW w:w="160" w:type="dxa"/>
            <w:vAlign w:val="bottom"/>
          </w:tcPr>
          <w:p>
            <w:pPr>
              <w:spacing w:after="0"/>
              <w:rPr>
                <w:sz w:val="22"/>
                <w:szCs w:val="22"/>
                <w:color w:val="auto"/>
              </w:rPr>
            </w:pPr>
          </w:p>
        </w:tc>
      </w:tr>
      <w:tr>
        <w:trPr>
          <w:trHeight w:val="116"/>
        </w:trPr>
        <w:tc>
          <w:tcPr>
            <w:tcW w:w="76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160" w:type="dxa"/>
            <w:vAlign w:val="bottom"/>
          </w:tcPr>
          <w:p>
            <w:pPr>
              <w:spacing w:after="0"/>
              <w:rPr>
                <w:sz w:val="10"/>
                <w:szCs w:val="10"/>
                <w:color w:val="auto"/>
              </w:rPr>
            </w:pPr>
          </w:p>
        </w:tc>
      </w:tr>
      <w:tr>
        <w:trPr>
          <w:trHeight w:val="390"/>
        </w:trPr>
        <w:tc>
          <w:tcPr>
            <w:tcW w:w="760" w:type="dxa"/>
            <w:vAlign w:val="bottom"/>
          </w:tcPr>
          <w:p>
            <w:pPr xmlns:w="http://schemas.openxmlformats.org/wordprocessingml/2006/main">
              <w:jc w:val="right"/>
              <w:ind w:right="393"/>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1</w:t>
            </w:r>
          </w:p>
        </w:tc>
        <w:tc>
          <w:tcPr>
            <w:tcW w:w="780" w:type="dxa"/>
            <w:vAlign w:val="bottom"/>
          </w:tcPr>
          <w:p>
            <w:pPr xmlns:w="http://schemas.openxmlformats.org/wordprocessingml/2006/main">
              <w:jc w:val="right"/>
              <w:ind w:right="40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2</w:t>
            </w:r>
          </w:p>
        </w:tc>
        <w:tc>
          <w:tcPr>
            <w:tcW w:w="52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3</w:t>
            </w:r>
          </w:p>
        </w:tc>
        <w:tc>
          <w:tcPr>
            <w:tcW w:w="74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4</w:t>
            </w:r>
          </w:p>
        </w:tc>
        <w:tc>
          <w:tcPr>
            <w:tcW w:w="720" w:type="dxa"/>
            <w:vAlign w:val="bottom"/>
          </w:tcPr>
          <w:p>
            <w:pPr xmlns:w="http://schemas.openxmlformats.org/wordprocessingml/2006/main">
              <w:jc w:val="right"/>
              <w:ind w:right="185"/>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5</w:t>
            </w:r>
          </w:p>
        </w:tc>
        <w:tc>
          <w:tcPr>
            <w:tcW w:w="740" w:type="dxa"/>
            <w:vAlign w:val="bottom"/>
            <w:shd w:val="clear" w:color="auto" w:fill="231F20"/>
          </w:tcPr>
          <w:p>
            <w:pPr xmlns:w="http://schemas.openxmlformats.org/wordprocessingml/2006/main">
              <w:jc w:val="right"/>
              <w:ind w:right="165"/>
              <w:spacing w:after="0"/>
              <w:rPr>
                <w:sz w:val="20"/>
                <w:szCs w:val="20"/>
                <w:color w:val="auto"/>
              </w:rPr>
            </w:pPr>
            <w:r>
              <w:rPr xmlns:w="http://schemas.openxmlformats.org/wordprocessingml/2006/main">
                <w:rFonts w:ascii="Arial" w:cs="Arial" w:eastAsia="Arial" w:hAnsi="Arial"/>
                <w:sz w:val="24"/>
                <w:szCs w:val="24"/>
                <w:b w:val="1"/>
                <w:bCs w:val="1"/>
                <w:color w:val="FFFFFF"/>
              </w:rPr>
              <w:t xml:space="preserve">6</w:t>
            </w:r>
          </w:p>
        </w:tc>
        <w:tc>
          <w:tcPr>
            <w:tcW w:w="340" w:type="dxa"/>
            <w:vAlign w:val="bottom"/>
          </w:tcPr>
          <w:p>
            <w:pPr>
              <w:spacing w:after="0"/>
              <w:rPr>
                <w:sz w:val="24"/>
                <w:szCs w:val="24"/>
                <w:color w:val="auto"/>
              </w:rPr>
            </w:pPr>
          </w:p>
        </w:tc>
        <w:tc>
          <w:tcPr>
            <w:tcW w:w="16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24"/>
                <w:szCs w:val="24"/>
                <w:b w:val="1"/>
                <w:bCs w:val="1"/>
                <w:color w:val="auto"/>
                <w:w w:val="89"/>
              </w:rPr>
              <w:t xml:space="preserve">7</w:t>
            </w:r>
          </w:p>
        </w:tc>
      </w:tr>
      <w:tr>
        <w:trPr>
          <w:trHeight w:val="22"/>
        </w:trPr>
        <w:tc>
          <w:tcPr>
            <w:tcW w:w="76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740" w:type="dxa"/>
            <w:vAlign w:val="bottom"/>
            <w:shd w:val="clear" w:color="auto" w:fill="231F2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-4445</wp:posOffset>
            </wp:positionH>
            <wp:positionV relativeFrom="paragraph">
              <wp:posOffset>-522605</wp:posOffset>
            </wp:positionV>
            <wp:extent cx="3312160" cy="8636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extLst>
                    </a:blip>
                    <a:srcRect/>
                    <a:stretch>
                      <a:fillRect/>
                    </a:stretch>
                  </pic:blipFill>
                  <pic:spPr bwMode="auto">
                    <a:xfrm>
                      <a:off x="0" y="0"/>
                      <a:ext cx="3312160" cy="86360"/>
                    </a:xfrm>
                    <a:prstGeom prst="rect">
                      <a:avLst/>
                    </a:prstGeom>
                    <a:noFill/>
                  </pic:spPr>
                </pic:pic>
              </a:graphicData>
            </a:graphic>
          </wp:anchor>
        </w:drawing>
        <w:drawing>
          <wp:anchor simplePos="0" relativeHeight="251657728" behindDoc="1" locked="0" layoutInCell="0" allowOverlap="1">
            <wp:simplePos x="0" y="0"/>
            <wp:positionH relativeFrom="column">
              <wp:posOffset>-4445</wp:posOffset>
            </wp:positionH>
            <wp:positionV relativeFrom="paragraph">
              <wp:posOffset>-271145</wp:posOffset>
            </wp:positionV>
            <wp:extent cx="3317240" cy="28194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extLst>
                    </a:blip>
                    <a:srcRect/>
                    <a:stretch>
                      <a:fillRect/>
                    </a:stretch>
                  </pic:blipFill>
                  <pic:spPr bwMode="auto">
                    <a:xfrm>
                      <a:off x="0" y="0"/>
                      <a:ext cx="3317240" cy="281940"/>
                    </a:xfrm>
                    <a:prstGeom prst="rect">
                      <a:avLst/>
                    </a:prstGeom>
                    <a:noFill/>
                  </pic:spPr>
                </pic:pic>
              </a:graphicData>
            </a:graphic>
          </wp:anchor>
        </w:drawing>
      </w:r>
    </w:p>
    <w:p>
      <w:pPr>
        <w:spacing w:after="0" w:line="84" w:lineRule="exact"/>
        <w:rPr>
          <w:sz w:val="24"/>
          <w:szCs w:val="24"/>
          <w:color w:val="auto"/>
        </w:rPr>
      </w:pPr>
    </w:p>
    <w:p>
      <w:pPr xmlns:w="http://schemas.openxmlformats.org/wordprocessingml/2006/main">
        <w:ind w:left="140" w:hanging="139"/>
        <w:spacing w:after="0" w:line="245" w:lineRule="auto"/>
        <w:rPr>
          <w:sz w:val="20"/>
          <w:szCs w:val="20"/>
          <w:color w:val="auto"/>
        </w:rPr>
      </w:pPr>
      <w:r>
        <w:rPr xmlns:w="http://schemas.openxmlformats.org/wordprocessingml/2006/main">
          <w:rFonts w:ascii="Arial" w:cs="Arial" w:eastAsia="Arial" w:hAnsi="Arial"/>
          <w:sz w:val="16"/>
          <w:szCs w:val="16"/>
          <w:color w:val="231F20"/>
        </w:rPr>
        <w:t xml:space="preserve">2 Wskaźnik ten opiera się na danych historycznych i może nie być wiarygodnym wskaźnikiem przyszłego profilu ryzyka Funduszu.</w:t>
      </w:r>
    </w:p>
    <w:p>
      <w:pPr>
        <w:spacing w:after="0" w:line="1" w:lineRule="exact"/>
        <w:rPr>
          <w:sz w:val="24"/>
          <w:szCs w:val="24"/>
          <w:color w:val="auto"/>
        </w:rPr>
      </w:pPr>
    </w:p>
    <w:p>
      <w:pPr xmlns:w="http://schemas.openxmlformats.org/wordprocessingml/2006/main">
        <w:ind w:left="140" w:hanging="140"/>
        <w:spacing w:after="0"/>
        <w:tabs>
          <w:tab w:leader="none" w:pos="140" w:val="left"/>
        </w:tabs>
        <w:numPr>
          <w:ilvl w:val="0"/>
          <w:numId w:val="8"/>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Podana kategoria ryzyka nie jest gwarantowana i może się zmieniać w czasie.</w:t>
      </w:r>
    </w:p>
    <w:p>
      <w:pPr>
        <w:spacing w:after="0" w:line="16" w:lineRule="exact"/>
        <w:rPr>
          <w:rFonts w:ascii="Arial" w:cs="Arial" w:eastAsia="Arial" w:hAnsi="Arial"/>
          <w:sz w:val="16"/>
          <w:szCs w:val="16"/>
          <w:color w:val="231F20"/>
        </w:rPr>
      </w:pPr>
    </w:p>
    <w:p>
      <w:pPr xmlns:w="http://schemas.openxmlformats.org/wordprocessingml/2006/main">
        <w:ind w:left="140" w:hanging="140"/>
        <w:spacing w:after="0"/>
        <w:tabs>
          <w:tab w:leader="none" w:pos="140" w:val="left"/>
        </w:tabs>
        <w:numPr>
          <w:ilvl w:val="0"/>
          <w:numId w:val="9"/>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Najniższa kategoria nie oznacza "bez ryzyka".</w:t>
      </w:r>
    </w:p>
    <w:p>
      <w:pPr>
        <w:spacing w:after="0" w:line="16" w:lineRule="exact"/>
        <w:rPr>
          <w:sz w:val="24"/>
          <w:szCs w:val="24"/>
          <w:color w:val="auto"/>
        </w:rPr>
      </w:pPr>
    </w:p>
    <w:p>
      <w:pPr xmlns:w="http://schemas.openxmlformats.org/wordprocessingml/2006/main">
        <w:jc w:val="both"/>
        <w:ind w:left="140" w:hanging="139"/>
        <w:spacing w:after="0" w:line="225" w:lineRule="auto"/>
        <w:rPr>
          <w:sz w:val="20"/>
          <w:szCs w:val="20"/>
          <w:color w:val="auto"/>
        </w:rPr>
      </w:pPr>
      <w:r>
        <w:rPr xmlns:w="http://schemas.openxmlformats.org/wordprocessingml/2006/main">
          <w:rFonts w:ascii="Arial" w:cs="Arial" w:eastAsia="Arial" w:hAnsi="Arial"/>
          <w:sz w:val="16"/>
          <w:szCs w:val="16"/>
          <w:color w:val="231F20"/>
        </w:rPr>
        <w:t xml:space="preserve">2. Fundusz posiada rating 6 ze względu na charakter inwestycji, które obejmują ryzyka wymienione poniżej.</w:t>
      </w:r>
      <w:r>
        <w:rPr xmlns:w="http://schemas.openxmlformats.org/wordprocessingml/2006/main">
          <w:rFonts w:ascii="Arial" w:cs="Arial" w:eastAsia="Arial" w:hAnsi="Arial"/>
          <w:sz w:val="16"/>
          <w:szCs w:val="16"/>
          <w:color w:val="231F20"/>
        </w:rPr>
        <w:t xml:space="preserve"> Czynniki te mogą mieć wpływ na wartość inwestycji Funduszu lub narażać Fundusz na straty.</w:t>
      </w:r>
    </w:p>
    <w:p>
      <w:pPr>
        <w:spacing w:after="0" w:line="1" w:lineRule="exact"/>
        <w:rPr>
          <w:sz w:val="24"/>
          <w:szCs w:val="24"/>
          <w:color w:val="auto"/>
        </w:rPr>
      </w:pPr>
    </w:p>
    <w:p>
      <w:pPr xmlns:w="http://schemas.openxmlformats.org/wordprocessingml/2006/main">
        <w:jc w:val="both"/>
        <w:ind w:left="140"/>
        <w:spacing w:after="0" w:line="241" w:lineRule="auto"/>
        <w:tabs>
          <w:tab w:leader="none" w:pos="243" w:val="left"/>
        </w:tabs>
        <w:numPr>
          <w:ilvl w:val="0"/>
          <w:numId w:val="10"/>
        </w:numPr>
        <w:rPr>
          <w:rFonts w:ascii="Arial" w:cs="Arial" w:eastAsia="Arial" w:hAnsi="Arial"/>
          <w:sz w:val="15"/>
          <w:szCs w:val="15"/>
          <w:color w:val="231F20"/>
        </w:rPr>
      </w:pPr>
      <w:r>
        <w:rPr xmlns:w="http://schemas.openxmlformats.org/wordprocessingml/2006/main">
          <w:rFonts w:ascii="Arial" w:cs="Arial" w:eastAsia="Arial" w:hAnsi="Arial"/>
          <w:sz w:val="15"/>
          <w:szCs w:val="15"/>
          <w:color w:val="231F20"/>
        </w:rPr>
        <w:t xml:space="preserve">Na wartość akcji i papierów wartościowych o charakterze udziałowym mogą mieć wpływ codzienne zmiany na rynku akcji.</w:t>
      </w:r>
      <w:r>
        <w:rPr xmlns:w="http://schemas.openxmlformats.org/wordprocessingml/2006/main">
          <w:rFonts w:ascii="Arial" w:cs="Arial" w:eastAsia="Arial" w:hAnsi="Arial"/>
          <w:sz w:val="15"/>
          <w:szCs w:val="15"/>
          <w:color w:val="231F20"/>
        </w:rPr>
        <w:t xml:space="preserve"> Wśród innych wpływowych czynników znajdują się wiadomości polityczne, gospodarcze, wyniki przedsiębiorstw i ważne wydarzenia korporacyjne.</w:t>
      </w:r>
    </w:p>
    <w:p>
      <w:pPr xmlns:w="http://schemas.openxmlformats.org/wordprocessingml/2006/main">
        <w:jc w:val="both"/>
        <w:ind w:left="140"/>
        <w:spacing w:after="0" w:line="221" w:lineRule="auto"/>
        <w:tabs>
          <w:tab w:leader="none" w:pos="220" w:val="left"/>
        </w:tabs>
        <w:numPr>
          <w:ilvl w:val="0"/>
          <w:numId w:val="1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Rynki wschodzące są na ogół bardziej wrażliwe na warunki gospodarcze i polityczne niż rynki rozwinięte.</w:t>
      </w:r>
      <w:r>
        <w:rPr xmlns:w="http://schemas.openxmlformats.org/wordprocessingml/2006/main">
          <w:rFonts w:ascii="Arial" w:cs="Arial" w:eastAsia="Arial" w:hAnsi="Arial"/>
          <w:sz w:val="16"/>
          <w:szCs w:val="16"/>
          <w:color w:val="231F20"/>
        </w:rPr>
        <w:t xml:space="preserve"> Inne czynniki obejmują większe "ryzyko płynności", ograniczenia dotyczące inwestycji lub transferów aktywów oraz nieudaną/opóźnioną dostawę papierów wartościowych lub płatności na rzecz Funduszu.</w:t>
      </w:r>
    </w:p>
    <w:p>
      <w:pPr>
        <w:spacing w:after="0" w:line="2" w:lineRule="exact"/>
        <w:rPr>
          <w:rFonts w:ascii="Arial" w:cs="Arial" w:eastAsia="Arial" w:hAnsi="Arial"/>
          <w:sz w:val="16"/>
          <w:szCs w:val="16"/>
          <w:color w:val="231F20"/>
        </w:rPr>
      </w:pPr>
    </w:p>
    <w:p>
      <w:pPr xmlns:w="http://schemas.openxmlformats.org/wordprocessingml/2006/main">
        <w:jc w:val="both"/>
        <w:ind w:left="140"/>
        <w:spacing w:after="0" w:line="226" w:lineRule="auto"/>
        <w:tabs>
          <w:tab w:leader="none" w:pos="225" w:val="left"/>
        </w:tabs>
        <w:numPr>
          <w:ilvl w:val="0"/>
          <w:numId w:val="1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Ryzyko inwestycyjne koncentruje się w określonych sektorach, krajach, walutach lub przedsiębiorstwach.</w:t>
      </w:r>
      <w:r>
        <w:rPr xmlns:w="http://schemas.openxmlformats.org/wordprocessingml/2006/main">
          <w:rFonts w:ascii="Arial" w:cs="Arial" w:eastAsia="Arial" w:hAnsi="Arial"/>
          <w:sz w:val="16"/>
          <w:szCs w:val="16"/>
          <w:color w:val="231F20"/>
        </w:rPr>
        <w:t xml:space="preserve"> Oznacza to, że Fundusz jest bardziej wrażliwy na wszelkie lokalne wydarzenia gospodarcze, rynkowe, polityczne lub regulacyjne.</w:t>
      </w:r>
    </w:p>
    <w:p>
      <w:pPr xmlns:w="http://schemas.openxmlformats.org/wordprocessingml/2006/main">
        <w:jc w:val="both"/>
        <w:ind w:left="140"/>
        <w:spacing w:after="0" w:line="226" w:lineRule="auto"/>
        <w:tabs>
          <w:tab w:leader="none" w:pos="260" w:val="left"/>
        </w:tabs>
        <w:numPr>
          <w:ilvl w:val="0"/>
          <w:numId w:val="1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Wykorzystanie instrumentów pochodnych.</w:t>
      </w:r>
      <w:r>
        <w:rPr xmlns:w="http://schemas.openxmlformats.org/wordprocessingml/2006/main">
          <w:rFonts w:ascii="Arial" w:cs="Arial" w:eastAsia="Arial" w:hAnsi="Arial"/>
          <w:sz w:val="16"/>
          <w:szCs w:val="16"/>
          <w:color w:val="231F20"/>
        </w:rPr>
        <w:t xml:space="preserve"> Wykorzystanie instrumentów pochodnych mogłoby zwiększyć lub zmniejszyć ekspozycję na aktywa bazowe i spowodować większe wahania wartości aktywów netto Funduszu.</w:t>
      </w:r>
    </w:p>
    <w:p>
      <w:pPr>
        <w:spacing w:after="0" w:line="4" w:lineRule="exact"/>
        <w:rPr>
          <w:sz w:val="24"/>
          <w:szCs w:val="24"/>
          <w:color w:val="auto"/>
        </w:rPr>
      </w:pPr>
    </w:p>
    <w:p>
      <w:pPr xmlns:w="http://schemas.openxmlformats.org/wordprocessingml/2006/main">
        <w:jc w:val="both"/>
        <w:spacing w:after="0" w:line="252" w:lineRule="auto"/>
        <w:rPr>
          <w:sz w:val="20"/>
          <w:szCs w:val="20"/>
          <w:color w:val="auto"/>
        </w:rPr>
      </w:pPr>
      <w:r>
        <w:rPr xmlns:w="http://schemas.openxmlformats.org/wordprocessingml/2006/main">
          <w:rFonts w:ascii="Arial" w:cs="Arial" w:eastAsia="Arial" w:hAnsi="Arial"/>
          <w:sz w:val="16"/>
          <w:szCs w:val="16"/>
          <w:b w:val="1"/>
          <w:bCs w:val="1"/>
          <w:color w:val="231F20"/>
        </w:rPr>
        <w:t xml:space="preserve">Wskaźnik ryzyka i zysku nie uwzględnia następujących ryzyk związanych z inwestowaniem w Fundusz:</w:t>
      </w:r>
    </w:p>
    <w:p>
      <w:pPr xmlns:w="http://schemas.openxmlformats.org/wordprocessingml/2006/main">
        <w:jc w:val="both"/>
        <w:ind w:left="140" w:hanging="139"/>
        <w:spacing w:after="0" w:line="221" w:lineRule="auto"/>
        <w:rPr>
          <w:sz w:val="20"/>
          <w:szCs w:val="20"/>
          <w:color w:val="auto"/>
        </w:rPr>
      </w:pPr>
      <w:r>
        <w:rPr xmlns:w="http://schemas.openxmlformats.org/wordprocessingml/2006/main">
          <w:rFonts w:ascii="Arial" w:cs="Arial" w:eastAsia="Arial" w:hAnsi="Arial"/>
          <w:sz w:val="16"/>
          <w:szCs w:val="16"/>
          <w:color w:val="231F20"/>
        </w:rPr>
        <w:t xml:space="preserve">2 Ryzyko kontrahenta.</w:t>
      </w:r>
      <w:r>
        <w:rPr xmlns:w="http://schemas.openxmlformats.org/wordprocessingml/2006/main">
          <w:rFonts w:ascii="Arial" w:cs="Arial" w:eastAsia="Arial" w:hAnsi="Arial"/>
          <w:sz w:val="16"/>
          <w:szCs w:val="16"/>
          <w:color w:val="231F20"/>
        </w:rPr>
        <w:t xml:space="preserve"> Niewypłacalność instytucji świadczących usługi, takie jak przechowywanie aktywów lub działających jako kontrahenci instrumentów pochodnych lub innych instrumentów, może narazić Fundusz na straty finansowe.</w:t>
      </w:r>
    </w:p>
    <w:p>
      <w:pPr>
        <w:spacing w:after="0" w:line="2" w:lineRule="exact"/>
        <w:rPr>
          <w:sz w:val="24"/>
          <w:szCs w:val="24"/>
          <w:color w:val="auto"/>
        </w:rPr>
      </w:pPr>
    </w:p>
    <w:p>
      <w:pPr xmlns:w="http://schemas.openxmlformats.org/wordprocessingml/2006/main">
        <w:jc w:val="both"/>
        <w:ind w:left="140" w:hanging="140"/>
        <w:spacing w:after="0" w:line="219" w:lineRule="auto"/>
        <w:tabs>
          <w:tab w:leader="none" w:pos="140" w:val="left"/>
        </w:tabs>
        <w:numPr>
          <w:ilvl w:val="0"/>
          <w:numId w:val="1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Ryzyko płynności.</w:t>
      </w:r>
      <w:r>
        <w:rPr xmlns:w="http://schemas.openxmlformats.org/wordprocessingml/2006/main">
          <w:rFonts w:ascii="Arial" w:cs="Arial" w:eastAsia="Arial" w:hAnsi="Arial"/>
          <w:sz w:val="16"/>
          <w:szCs w:val="16"/>
          <w:color w:val="231F20"/>
        </w:rPr>
        <w:t xml:space="preserve"> Niższa płynność oznacza, że nie ma wystarczających nabywców lub sprzedawców, aby umożliwić funduszowi łatwą sprzedaż lub zakup inwestycji, co mogłoby spowodować, że fundusz poniesie wyższe koszty przy zakupie lub sprzedaży inwestycji lub mogłoby oznaczać, że fundusz nie jest w stanie kupować lub sprzedawać inwestycji, jeżeli chciałby tego dokonać.</w:t>
      </w:r>
    </w:p>
    <w:p>
      <w:pPr>
        <w:spacing w:after="0" w:line="3" w:lineRule="exact"/>
        <w:rPr>
          <w:sz w:val="24"/>
          <w:szCs w:val="24"/>
          <w:color w:val="auto"/>
        </w:rPr>
      </w:pPr>
    </w:p>
    <w:p>
      <w:pPr xmlns:w="http://schemas.openxmlformats.org/wordprocessingml/2006/main">
        <w:jc w:val="both"/>
        <w:ind w:left="140" w:hanging="140"/>
        <w:spacing w:after="0" w:line="221" w:lineRule="auto"/>
        <w:tabs>
          <w:tab w:leader="none" w:pos="140" w:val="left"/>
        </w:tabs>
        <w:numPr>
          <w:ilvl w:val="0"/>
          <w:numId w:val="1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Ryzyko śledzenia indeksów.</w:t>
      </w:r>
      <w:r>
        <w:rPr xmlns:w="http://schemas.openxmlformats.org/wordprocessingml/2006/main">
          <w:rFonts w:ascii="Arial" w:cs="Arial" w:eastAsia="Arial" w:hAnsi="Arial"/>
          <w:sz w:val="16"/>
          <w:szCs w:val="16"/>
          <w:color w:val="231F20"/>
        </w:rPr>
        <w:t xml:space="preserve"> Nie oczekuje się, że Fundusz będzie stale śledził wyniki indeksu z doskonałą dokładnością.</w:t>
      </w:r>
      <w:r>
        <w:rPr xmlns:w="http://schemas.openxmlformats.org/wordprocessingml/2006/main">
          <w:rFonts w:ascii="Arial" w:cs="Arial" w:eastAsia="Arial" w:hAnsi="Arial"/>
          <w:sz w:val="16"/>
          <w:szCs w:val="16"/>
          <w:color w:val="231F20"/>
        </w:rPr>
        <w:t xml:space="preserve"> Oczekuje się jednak, że fundusz będzie generował wyniki inwestycyjne, które przed wydatkami zasadniczo odpowiadają wynikom indeksu w zakresie ceny i rentowności.</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200" w:lineRule="exact"/>
        <w:rPr>
          <w:sz w:val="24"/>
          <w:szCs w:val="24"/>
          <w:color w:val="auto"/>
        </w:rPr>
      </w:pPr>
    </w:p>
    <w:p>
      <w:pPr>
        <w:spacing w:after="0" w:line="358" w:lineRule="exact"/>
        <w:rPr>
          <w:sz w:val="24"/>
          <w:szCs w:val="24"/>
          <w:color w:val="auto"/>
        </w:rPr>
      </w:pPr>
    </w:p>
    <w:p>
      <w:pPr xmlns:w="http://schemas.openxmlformats.org/wordprocessingml/2006/main">
        <w:jc w:val="both"/>
        <w:ind w:left="140" w:hanging="139"/>
        <w:spacing w:after="0" w:line="227" w:lineRule="auto"/>
        <w:rPr>
          <w:sz w:val="20"/>
          <w:szCs w:val="20"/>
          <w:color w:val="auto"/>
        </w:rPr>
      </w:pPr>
      <w:r>
        <w:rPr xmlns:w="http://schemas.openxmlformats.org/wordprocessingml/2006/main">
          <w:rFonts w:ascii="Arial" w:cs="Arial" w:eastAsia="Arial" w:hAnsi="Arial"/>
          <w:sz w:val="16"/>
          <w:szCs w:val="16"/>
          <w:color w:val="231F20"/>
        </w:rPr>
        <w:t xml:space="preserve">2 Ryzyko związane z pobieraniem próbek.</w:t>
      </w:r>
      <w:r>
        <w:rPr xmlns:w="http://schemas.openxmlformats.org/wordprocessingml/2006/main">
          <w:rFonts w:ascii="Arial" w:cs="Arial" w:eastAsia="Arial" w:hAnsi="Arial"/>
          <w:sz w:val="16"/>
          <w:szCs w:val="16"/>
          <w:color w:val="231F20"/>
        </w:rPr>
        <w:t xml:space="preserve"> Ponieważ Fundusz stosuje technikę wyboru indeksu, w ramach której do reprezentacji Indeksu wybierana jest reprezentatywna próba papierów wartościowych, istnieje ryzyko, że papiery wartościowe wybrane do udziału w Funduszu nie mogą w sumie przybliżać pełnego Indeksu.</w:t>
      </w:r>
    </w:p>
    <w:p>
      <w:pPr xmlns:w="http://schemas.openxmlformats.org/wordprocessingml/2006/main">
        <w:jc w:val="both"/>
        <w:spacing w:after="0" w:line="272" w:lineRule="auto"/>
        <w:rPr>
          <w:sz w:val="20"/>
          <w:szCs w:val="20"/>
          <w:color w:val="auto"/>
        </w:rPr>
      </w:pPr>
      <w:r>
        <w:rPr xmlns:w="http://schemas.openxmlformats.org/wordprocessingml/2006/main">
          <w:rFonts w:ascii="Arial" w:cs="Arial" w:eastAsia="Arial" w:hAnsi="Arial"/>
          <w:sz w:val="15"/>
          <w:szCs w:val="15"/>
          <w:b w:val="1"/>
          <w:bCs w:val="1"/>
          <w:color w:val="231F20"/>
        </w:rPr>
        <w:t xml:space="preserve">Więcej informacji na temat ryzyk znajduje się w sekcji "Czynniki ryzyka" prospektu na naszej stronie internetowej pod adresem</w:t>
      </w:r>
      <w:r>
        <w:rPr xmlns:w="http://schemas.openxmlformats.org/wordprocessingml/2006/main">
          <w:rFonts w:ascii="Arial" w:cs="Arial" w:eastAsia="Arial" w:hAnsi="Arial"/>
          <w:sz w:val="15"/>
          <w:szCs w:val="15"/>
          <w:color w:val="231F20"/>
        </w:rPr>
        <w:t xml:space="preserve"> https://global.vanguard.com</w:t>
      </w:r>
    </w:p>
    <w:p>
      <w:pPr>
        <w:sectPr>
          <w:pgSz w:w="11900" w:h="16843" w:orient="portrait"/>
          <w:cols w:equalWidth="0" w:num="2">
            <w:col w:w="5200" w:space="240"/>
            <w:col w:w="5200"/>
          </w:cols>
          <w:pgMar w:left="560" w:top="969" w:right="700" w:bottom="0" w:gutter="0" w:footer="0" w:header="0"/>
          <w:type w:val="continuous"/>
        </w:sectPr>
      </w:pPr>
    </w:p>
    <w:bookmarkStart w:id="1" w:name="page2"/>
    <w:bookmarkEnd w:id="1"/>
    <w:p>
      <w:pPr>
        <w:spacing w:after="0" w:line="1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page">
                  <wp:posOffset>355600</wp:posOffset>
                </wp:positionH>
                <wp:positionV relativeFrom="page">
                  <wp:posOffset>254000</wp:posOffset>
                </wp:positionV>
                <wp:extent cx="684530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8pt,20pt" to="567pt,20pt" o:allowincell="f" strokecolor="#231F20" strokeweight="0.4pt">
                <w10:wrap anchorx="page" anchory="page"/>
              </v:line>
            </w:pict>
          </mc:Fallback>
        </mc:AlternateContent>
      </w: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Opłaty</w:t>
      </w:r>
    </w:p>
    <w:p>
      <w:pPr>
        <w:spacing w:after="0" w:line="138"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16"/>
          <w:szCs w:val="16"/>
          <w:color w:val="231F20"/>
        </w:rPr>
        <w:t xml:space="preserve">Opłaty, które Państwo ponoszą, służą pokryciu kosztów funkcjonowania Funduszu, w tym kosztów jego marketingu i dystrybucji.</w:t>
      </w:r>
      <w:r>
        <w:rPr xmlns:w="http://schemas.openxmlformats.org/wordprocessingml/2006/main">
          <w:rFonts w:ascii="Arial" w:cs="Arial" w:eastAsia="Arial" w:hAnsi="Arial"/>
          <w:sz w:val="16"/>
          <w:szCs w:val="16"/>
          <w:color w:val="231F20"/>
        </w:rPr>
        <w:t xml:space="preserve"> Opłaty te zmniejszają potencjalny wzrost Państwa inwestycji.</w:t>
      </w:r>
    </w:p>
    <w:p>
      <w:pPr>
        <w:sectPr>
          <w:pgSz w:w="11900" w:h="16940" w:orient="portrait"/>
          <w:cols w:equalWidth="0" w:num="1">
            <w:col w:w="10799"/>
          </w:cols>
          <w:pgMar w:left="541" w:top="477" w:right="560" w:bottom="0" w:gutter="0" w:footer="0" w:header="0"/>
        </w:sectPr>
      </w:pPr>
    </w:p>
    <w:p>
      <w:pPr>
        <w:spacing w:after="0" w:line="75" w:lineRule="exact"/>
        <w:rPr>
          <w:sz w:val="20"/>
          <w:szCs w:val="20"/>
          <w:color w:val="auto"/>
        </w:rPr>
      </w:pPr>
    </w:p>
    <w:p>
      <w:pPr xmlns:w="http://schemas.openxmlformats.org/wordprocessingml/2006/main">
        <w:ind w:left="59"/>
        <w:spacing w:after="0"/>
        <w:rPr>
          <w:sz w:val="20"/>
          <w:szCs w:val="20"/>
          <w:color w:val="auto"/>
        </w:rPr>
      </w:pPr>
      <w:r>
        <w:rPr xmlns:w="http://schemas.openxmlformats.org/wordprocessingml/2006/main">
          <w:rFonts w:ascii="Arial" w:cs="Arial" w:eastAsia="Arial" w:hAnsi="Arial"/>
          <w:sz w:val="16"/>
          <w:szCs w:val="16"/>
          <w:color w:val="231F20"/>
        </w:rPr>
        <w:t xml:space="preserve">Jednorazowe opłaty pobierane przed lub po dokonaniu inwestycji</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-128270</wp:posOffset>
                </wp:positionV>
                <wp:extent cx="3302000" cy="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8" o:spid="_x0000_s103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0.0999pt" to="260.9pt,-10.0999pt" o:allowincell="f" strokecolor="#000000" strokeweight="0.4pt"/>
            </w:pict>
          </mc:Fallback>
        </mc:AlternateContent>
        <mc:AlternateContent>
          <mc:Choice Requires="wps">
            <w:drawing>
              <wp:anchor simplePos="0" relativeHeight="251657728" behindDoc="1" locked="0" layoutInCell="0" allowOverlap="1">
                <wp:simplePos x="0" y="0"/>
                <wp:positionH relativeFrom="column">
                  <wp:posOffset>11430</wp:posOffset>
                </wp:positionH>
                <wp:positionV relativeFrom="paragraph">
                  <wp:posOffset>23495</wp:posOffset>
                </wp:positionV>
                <wp:extent cx="3302000" cy="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9" o:spid="_x0000_s103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85pt" to="260.9pt,1.85pt" o:allowincell="f" strokecolor="#000000" strokeweight="0.4pt"/>
            </w:pict>
          </mc:Fallback>
        </mc:AlternateContent>
      </w:r>
    </w:p>
    <w:p>
      <w:pPr>
        <w:spacing w:after="0" w:line="33" w:lineRule="exact"/>
        <w:rPr>
          <w:sz w:val="20"/>
          <w:szCs w:val="20"/>
          <w:color w:val="auto"/>
        </w:rPr>
      </w:pPr>
    </w:p>
    <w:tbl>
      <w:tblPr>
        <w:tblLayout w:type="fixed"/>
        <w:tblInd w:w="19" w:type="dxa"/>
        <w:tblCellMar>
          <w:top w:w="0" w:type="dxa"/>
          <w:left w:w="0" w:type="dxa"/>
          <w:bottom w:w="0" w:type="dxa"/>
          <w:right w:w="0" w:type="dxa"/>
        </w:tblCellMar>
      </w:tblPr>
      <w:tr>
        <w:trPr>
          <w:trHeight w:val="225"/>
        </w:trPr>
        <w:tc>
          <w:tcPr>
            <w:tcW w:w="29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Opłata za wjazd*</w:t>
            </w:r>
          </w:p>
        </w:tc>
        <w:tc>
          <w:tcPr>
            <w:tcW w:w="2240" w:type="dxa"/>
            <w:vAlign w:val="bottom"/>
            <w:tcBorders>
              <w:bottom w:val="single" w:sz="8" w:color="auto"/>
            </w:tcBorders>
          </w:tcPr>
          <w:p>
            <w:pPr xmlns:w="http://schemas.openxmlformats.org/wordprocessingml/2006/main">
              <w:ind w:left="1800"/>
              <w:spacing w:after="0"/>
              <w:rPr>
                <w:sz w:val="20"/>
                <w:szCs w:val="20"/>
                <w:color w:val="auto"/>
              </w:rPr>
            </w:pPr>
            <w:r>
              <w:rPr xmlns:w="http://schemas.openxmlformats.org/wordprocessingml/2006/main">
                <w:rFonts w:ascii="Arial" w:cs="Arial" w:eastAsia="Arial" w:hAnsi="Arial"/>
                <w:sz w:val="16"/>
                <w:szCs w:val="16"/>
                <w:color w:val="231F20"/>
              </w:rPr>
              <w:t xml:space="preserve">Brak</w:t>
            </w:r>
          </w:p>
        </w:tc>
      </w:tr>
      <w:tr>
        <w:trPr>
          <w:trHeight w:val="225"/>
        </w:trPr>
        <w:tc>
          <w:tcPr>
            <w:tcW w:w="298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Opłata za wyjście*</w:t>
            </w:r>
          </w:p>
        </w:tc>
        <w:tc>
          <w:tcPr>
            <w:tcW w:w="2240" w:type="dxa"/>
            <w:vAlign w:val="bottom"/>
          </w:tcPr>
          <w:p>
            <w:pPr xmlns:w="http://schemas.openxmlformats.org/wordprocessingml/2006/main">
              <w:ind w:left="1800"/>
              <w:spacing w:after="0"/>
              <w:rPr>
                <w:sz w:val="20"/>
                <w:szCs w:val="20"/>
                <w:color w:val="auto"/>
              </w:rPr>
            </w:pPr>
            <w:r>
              <w:rPr xmlns:w="http://schemas.openxmlformats.org/wordprocessingml/2006/main">
                <w:rFonts w:ascii="Arial" w:cs="Arial" w:eastAsia="Arial" w:hAnsi="Arial"/>
                <w:sz w:val="16"/>
                <w:szCs w:val="16"/>
                <w:color w:val="231F20"/>
              </w:rPr>
              <w:t xml:space="preserve">Brak</w:t>
            </w: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13335</wp:posOffset>
                </wp:positionV>
                <wp:extent cx="3302000" cy="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10" o:spid="_x0000_s103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05pt" to="260.9pt,1.05pt" o:allowincell="f" strokecolor="#000000" strokeweight="0.4pt"/>
            </w:pict>
          </mc:Fallback>
        </mc:AlternateContent>
      </w:r>
    </w:p>
    <w:p>
      <w:pPr>
        <w:spacing w:after="0" w:line="17" w:lineRule="exact"/>
        <w:rPr>
          <w:sz w:val="20"/>
          <w:szCs w:val="20"/>
          <w:color w:val="auto"/>
        </w:rPr>
      </w:pPr>
    </w:p>
    <w:p>
      <w:pPr xmlns:w="http://schemas.openxmlformats.org/wordprocessingml/2006/main">
        <w:jc w:val="both"/>
        <w:ind w:left="59" w:right="40"/>
        <w:spacing w:after="0" w:line="251" w:lineRule="auto"/>
        <w:rPr>
          <w:sz w:val="20"/>
          <w:szCs w:val="20"/>
          <w:color w:val="auto"/>
        </w:rPr>
      </w:pPr>
      <w:r>
        <w:rPr xmlns:w="http://schemas.openxmlformats.org/wordprocessingml/2006/main">
          <w:rFonts w:ascii="Arial" w:cs="Arial" w:eastAsia="Arial" w:hAnsi="Arial"/>
          <w:sz w:val="16"/>
          <w:szCs w:val="16"/>
          <w:color w:val="231F20"/>
        </w:rPr>
        <w:t xml:space="preserve">Jest to maksymalna kwota, która może zostać pobrana z Twoich pieniędzy przed zainwestowaniem / przed wypłaceniem wpływów z Twojej inwestycji.</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-3810</wp:posOffset>
                </wp:positionV>
                <wp:extent cx="3302000" cy="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11" o:spid="_x0000_s103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0.2999pt" to="260.9pt,-0.2999pt" o:allowincell="f" strokecolor="#000000" strokeweight="0.4pt"/>
            </w:pict>
          </mc:Fallback>
        </mc:AlternateContent>
      </w:r>
    </w:p>
    <w:p>
      <w:pPr xmlns:w="http://schemas.openxmlformats.org/wordprocessingml/2006/main">
        <w:ind w:left="59"/>
        <w:spacing w:after="0"/>
        <w:rPr>
          <w:sz w:val="20"/>
          <w:szCs w:val="20"/>
          <w:color w:val="auto"/>
        </w:rPr>
      </w:pPr>
      <w:r>
        <w:rPr xmlns:w="http://schemas.openxmlformats.org/wordprocessingml/2006/main">
          <w:rFonts w:ascii="Arial" w:cs="Arial" w:eastAsia="Arial" w:hAnsi="Arial"/>
          <w:sz w:val="16"/>
          <w:szCs w:val="16"/>
          <w:color w:val="231F20"/>
        </w:rPr>
        <w:t xml:space="preserve">Opłaty pobrane z Funduszu w ciągu roku</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23495</wp:posOffset>
                </wp:positionV>
                <wp:extent cx="3302000"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85pt" to="260.9pt,1.85pt" o:allowincell="f" strokecolor="#000000" strokeweight="0.4pt"/>
            </w:pict>
          </mc:Fallback>
        </mc:AlternateContent>
      </w:r>
    </w:p>
    <w:p>
      <w:pPr>
        <w:spacing w:after="0" w:line="33" w:lineRule="exact"/>
        <w:rPr>
          <w:sz w:val="20"/>
          <w:szCs w:val="20"/>
          <w:color w:val="auto"/>
        </w:rPr>
      </w:pPr>
    </w:p>
    <w:tbl>
      <w:tblPr>
        <w:tblLayout w:type="fixed"/>
        <w:tblInd w:w="19" w:type="dxa"/>
        <w:tblCellMar>
          <w:top w:w="0" w:type="dxa"/>
          <w:left w:w="0" w:type="dxa"/>
          <w:bottom w:w="0" w:type="dxa"/>
          <w:right w:w="0" w:type="dxa"/>
        </w:tblCellMar>
      </w:tblPr>
      <w:tr>
        <w:trPr>
          <w:trHeight w:val="224"/>
        </w:trPr>
        <w:tc>
          <w:tcPr>
            <w:tcW w:w="45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Bieżące opłaty</w:t>
            </w:r>
          </w:p>
        </w:tc>
        <w:tc>
          <w:tcPr>
            <w:tcW w:w="640" w:type="dxa"/>
            <w:vAlign w:val="bottom"/>
            <w:tcBorders>
              <w:bottom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0.22%</w:t>
            </w:r>
          </w:p>
        </w:tc>
      </w:tr>
      <w:tr>
        <w:trPr>
          <w:trHeight w:val="229"/>
        </w:trPr>
        <w:tc>
          <w:tcPr>
            <w:tcW w:w="458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231F20"/>
              </w:rPr>
              <w:t xml:space="preserve">Opłaty pobrane z Funduszu na określonych warunkach szczególnych</w:t>
            </w:r>
          </w:p>
        </w:tc>
        <w:tc>
          <w:tcPr>
            <w:tcW w:w="640" w:type="dxa"/>
            <w:vAlign w:val="bottom"/>
            <w:tcBorders>
              <w:bottom w:val="single" w:sz="8" w:color="auto"/>
            </w:tcBorders>
          </w:tcPr>
          <w:p>
            <w:pPr>
              <w:spacing w:after="0"/>
              <w:rPr>
                <w:sz w:val="19"/>
                <w:szCs w:val="19"/>
                <w:color w:val="auto"/>
              </w:rPr>
            </w:pPr>
          </w:p>
        </w:tc>
      </w:tr>
      <w:tr>
        <w:trPr>
          <w:trHeight w:val="214"/>
        </w:trPr>
        <w:tc>
          <w:tcPr>
            <w:tcW w:w="45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Opłata za wyniki</w:t>
            </w:r>
          </w:p>
        </w:tc>
        <w:tc>
          <w:tcPr>
            <w:tcW w:w="640" w:type="dxa"/>
            <w:vAlign w:val="bottom"/>
            <w:tcBorders>
              <w:bottom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Brak</w:t>
            </w: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jc w:val="both"/>
        <w:spacing w:after="0" w:line="211" w:lineRule="auto"/>
        <w:rPr>
          <w:sz w:val="20"/>
          <w:szCs w:val="20"/>
          <w:color w:val="auto"/>
        </w:rPr>
      </w:pPr>
      <w:r>
        <w:rPr xmlns:w="http://schemas.openxmlformats.org/wordprocessingml/2006/main">
          <w:rFonts w:ascii="Arial" w:cs="Arial" w:eastAsia="Arial" w:hAnsi="Arial"/>
          <w:sz w:val="16"/>
          <w:szCs w:val="16"/>
          <w:color w:val="231F20"/>
        </w:rPr>
        <w:t xml:space="preserve">Inwestorzy, którzy nie są Autoryzowanymi Uczestnikami ("punkty dostępu") mogą być zmuszeni do uiszczania opłat na rzecz maklera giełdowego, gdy kupujesz lub sprzedajesz na giełdzie(-ach).</w:t>
      </w:r>
      <w:r>
        <w:rPr xmlns:w="http://schemas.openxmlformats.org/wordprocessingml/2006/main">
          <w:rFonts w:ascii="Arial" w:cs="Arial" w:eastAsia="Arial" w:hAnsi="Arial"/>
          <w:sz w:val="16"/>
          <w:szCs w:val="16"/>
          <w:color w:val="231F20"/>
        </w:rPr>
        <w:t xml:space="preserve"> Opłaty są pobierane bezpośrednio od brokera akcji i nie są pobierane przez Fundusz ani płatne na jego rzecz.</w:t>
      </w:r>
    </w:p>
    <w:p>
      <w:pPr>
        <w:spacing w:after="0" w:line="1" w:lineRule="exact"/>
        <w:rPr>
          <w:sz w:val="20"/>
          <w:szCs w:val="20"/>
          <w:color w:val="auto"/>
        </w:rPr>
      </w:pP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Podane opłaty za wjazd i wyjazd są kwotami maksymalnymi, a w niektórych przypadkach możesz zapłacić mniej.</w:t>
      </w:r>
      <w:r>
        <w:rPr xmlns:w="http://schemas.openxmlformats.org/wordprocessingml/2006/main">
          <w:rFonts w:ascii="Arial" w:cs="Arial" w:eastAsia="Arial" w:hAnsi="Arial"/>
          <w:sz w:val="16"/>
          <w:szCs w:val="16"/>
          <w:color w:val="231F20"/>
        </w:rPr>
        <w:t xml:space="preserve"> Inwestorzy mogą dowiedzieć się, jakie są rzeczywiste opłaty za wejście i wyjście od ich dystrybutora lub doradcy.</w:t>
      </w:r>
    </w:p>
    <w:p>
      <w:pPr xmlns:w="http://schemas.openxmlformats.org/wordprocessingml/2006/main">
        <w:jc w:val="both"/>
        <w:spacing w:after="0" w:line="236" w:lineRule="auto"/>
        <w:rPr>
          <w:sz w:val="20"/>
          <w:szCs w:val="20"/>
          <w:color w:val="auto"/>
        </w:rPr>
      </w:pPr>
      <w:r>
        <w:rPr xmlns:w="http://schemas.openxmlformats.org/wordprocessingml/2006/main">
          <w:rFonts w:ascii="Arial" w:cs="Arial" w:eastAsia="Arial" w:hAnsi="Arial"/>
          <w:sz w:val="15"/>
          <w:szCs w:val="15"/>
          <w:color w:val="231F20"/>
        </w:rPr>
        <w:t xml:space="preserve">Podmioty rozliczające się bezpośrednio z Funduszem pokryją związane z tym koszty transakcyjne.</w:t>
      </w:r>
      <w:r>
        <w:rPr xmlns:w="http://schemas.openxmlformats.org/wordprocessingml/2006/main">
          <w:rFonts w:ascii="Arial" w:cs="Arial" w:eastAsia="Arial" w:hAnsi="Arial"/>
          <w:sz w:val="15"/>
          <w:szCs w:val="15"/>
          <w:color w:val="231F20"/>
        </w:rPr>
        <w:t xml:space="preserve"> W przypadku tworzenia lub umarzania gotówki może być pobierana opłata za transakcję gotówkową w wysokości maksymalnie 2%, która jest wpłacana na rzecz Funduszu, a wszystkie transakcje będą wiązały się z kosztami transakcji.</w:t>
      </w:r>
      <w:r>
        <w:rPr xmlns:w="http://schemas.openxmlformats.org/wordprocessingml/2006/main">
          <w:rFonts w:ascii="Arial" w:cs="Arial" w:eastAsia="Arial" w:hAnsi="Arial"/>
          <w:sz w:val="15"/>
          <w:szCs w:val="15"/>
          <w:color w:val="231F20"/>
        </w:rPr>
        <w:t xml:space="preserve"> Inwestorzy, którzy nie są agencjami płatniczymi, nie będą ponosić tych opłat ani kosztów.</w:t>
      </w:r>
    </w:p>
    <w:p>
      <w:pPr>
        <w:spacing w:after="0" w:line="2" w:lineRule="exact"/>
        <w:rPr>
          <w:sz w:val="20"/>
          <w:szCs w:val="20"/>
          <w:color w:val="auto"/>
        </w:rPr>
      </w:pPr>
    </w:p>
    <w:p>
      <w:pPr xmlns:w="http://schemas.openxmlformats.org/wordprocessingml/2006/main">
        <w:jc w:val="both"/>
        <w:spacing w:after="0" w:line="226" w:lineRule="auto"/>
        <w:tabs>
          <w:tab w:leader="none" w:pos="97" w:val="left"/>
        </w:tabs>
        <w:numPr>
          <w:ilvl w:val="0"/>
          <w:numId w:val="1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W przypadku dużego abonamentu lub wykupu przez inwestora inwestor ten może być zmuszony do uiszczenia na rzecz Funduszu dodatkowej opłaty (np. opłaty antyrozmyciowej) w celu pokrycia poniesionych kosztów transakcyjnych.</w:t>
      </w: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Bieżąca kwota opłat opiera się na kosztach za rok zakończony 31 grudnia 2022 r.</w:t>
      </w:r>
      <w:r>
        <w:rPr xmlns:w="http://schemas.openxmlformats.org/wordprocessingml/2006/main">
          <w:rFonts w:ascii="Arial" w:cs="Arial" w:eastAsia="Arial" w:hAnsi="Arial"/>
          <w:sz w:val="16"/>
          <w:szCs w:val="16"/>
          <w:color w:val="231F20"/>
        </w:rPr>
        <w:t xml:space="preserve"> Liczba ta może się zmieniać z roku na rok.</w:t>
      </w:r>
      <w:r>
        <w:rPr xmlns:w="http://schemas.openxmlformats.org/wordprocessingml/2006/main">
          <w:rFonts w:ascii="Arial" w:cs="Arial" w:eastAsia="Arial" w:hAnsi="Arial"/>
          <w:sz w:val="16"/>
          <w:szCs w:val="16"/>
          <w:color w:val="231F20"/>
        </w:rPr>
        <w:t xml:space="preserve"> Pozycja ta nie obejmuje kosztów transakcji portfelowych.</w:t>
      </w:r>
    </w:p>
    <w:p>
      <w:pPr xmlns:w="http://schemas.openxmlformats.org/wordprocessingml/2006/main">
        <w:jc w:val="both"/>
        <w:spacing w:after="0" w:line="247" w:lineRule="auto"/>
        <w:rPr>
          <w:sz w:val="20"/>
          <w:szCs w:val="20"/>
          <w:color w:val="auto"/>
        </w:rPr>
      </w:pPr>
      <w:r>
        <w:rPr xmlns:w="http://schemas.openxmlformats.org/wordprocessingml/2006/main">
          <w:rFonts w:ascii="Arial" w:cs="Arial" w:eastAsia="Arial" w:hAnsi="Arial"/>
          <w:sz w:val="15"/>
          <w:szCs w:val="15"/>
          <w:b w:val="1"/>
          <w:bCs w:val="1"/>
          <w:color w:val="231F20"/>
        </w:rPr>
        <w:t xml:space="preserve">Więcej informacji na temat opłat znajduje się w Prospekcie oraz w sekcjach "Kupno Akcji", "Umorzenie Akcji", "Opłaty i Wydatki" oraz Załączniku nr 1 na naszej stronie internetowej pod adresem</w:t>
      </w:r>
      <w:r>
        <w:rPr xmlns:w="http://schemas.openxmlformats.org/wordprocessingml/2006/main">
          <w:rFonts w:ascii="Arial" w:cs="Arial" w:eastAsia="Arial" w:hAnsi="Arial"/>
          <w:sz w:val="15"/>
          <w:szCs w:val="15"/>
          <w:color w:val="231F20"/>
        </w:rPr>
        <w:t xml:space="preserve"> https://global.vanguard.com</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-3429000</wp:posOffset>
                </wp:positionH>
                <wp:positionV relativeFrom="paragraph">
                  <wp:posOffset>85725</wp:posOffset>
                </wp:positionV>
                <wp:extent cx="6845300" cy="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13" o:spid="_x0000_s103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0pt,6.75pt" to="269pt,6.75pt" o:allowincell="f" strokecolor="#231F20" strokeweight="0.4pt"/>
            </w:pict>
          </mc:Fallback>
        </mc:AlternateContent>
      </w:r>
    </w:p>
    <w:p>
      <w:pPr>
        <w:spacing w:after="0" w:line="200" w:lineRule="exact"/>
        <w:rPr>
          <w:sz w:val="20"/>
          <w:szCs w:val="20"/>
          <w:color w:val="auto"/>
        </w:rPr>
      </w:pPr>
    </w:p>
    <w:p>
      <w:pPr>
        <w:sectPr>
          <w:pgSz w:w="11900" w:h="16940" w:orient="portrait"/>
          <w:cols w:equalWidth="0" w:num="2">
            <w:col w:w="5219" w:space="200"/>
            <w:col w:w="5380"/>
          </w:cols>
          <w:pgMar w:left="541" w:top="477" w:right="560" w:bottom="0" w:gutter="0" w:footer="0" w:header="0"/>
          <w:type w:val="continuous"/>
        </w:sectPr>
      </w:pPr>
    </w:p>
    <w:p>
      <w:pPr>
        <w:spacing w:after="0" w:line="13"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Wyniki z przeszłości</w:t>
      </w:r>
    </w:p>
    <w:p>
      <w:pPr>
        <w:spacing w:after="0" w:line="136" w:lineRule="exact"/>
        <w:rPr>
          <w:sz w:val="20"/>
          <w:szCs w:val="20"/>
          <w:color w:val="auto"/>
        </w:rPr>
      </w:pPr>
    </w:p>
    <w:p>
      <w:pPr xmlns:w="http://schemas.openxmlformats.org/wordprocessingml/2006/main">
        <w:ind w:left="6019"/>
        <w:spacing w:after="0"/>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Dotychczasowa wydajność:</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75565</wp:posOffset>
            </wp:positionH>
            <wp:positionV relativeFrom="paragraph">
              <wp:posOffset>-112395</wp:posOffset>
            </wp:positionV>
            <wp:extent cx="3619500" cy="213360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extLst>
                    </a:blip>
                    <a:srcRect/>
                    <a:stretch>
                      <a:fillRect/>
                    </a:stretch>
                  </pic:blipFill>
                  <pic:spPr bwMode="auto">
                    <a:xfrm>
                      <a:off x="0" y="0"/>
                      <a:ext cx="3619500" cy="2133600"/>
                    </a:xfrm>
                    <a:prstGeom prst="rect">
                      <a:avLst/>
                    </a:prstGeom>
                    <a:noFill/>
                  </pic:spPr>
                </pic:pic>
              </a:graphicData>
            </a:graphic>
          </wp:anchor>
        </w:drawing>
      </w:r>
    </w:p>
    <w:p>
      <w:pPr>
        <w:spacing w:after="0" w:line="22" w:lineRule="exact"/>
        <w:rPr>
          <w:sz w:val="20"/>
          <w:szCs w:val="20"/>
          <w:color w:val="auto"/>
        </w:rPr>
      </w:pPr>
    </w:p>
    <w:p>
      <w:pPr xmlns:w="http://schemas.openxmlformats.org/wordprocessingml/2006/main">
        <w:ind w:left="6219"/>
        <w:spacing w:after="0"/>
        <w:rPr>
          <w:sz w:val="20"/>
          <w:szCs w:val="20"/>
          <w:color w:val="auto"/>
        </w:rPr>
      </w:pPr>
      <w:r>
        <w:rPr xmlns:w="http://schemas.openxmlformats.org/wordprocessingml/2006/main">
          <w:rFonts w:ascii="Arial" w:cs="Arial" w:eastAsia="Arial" w:hAnsi="Arial"/>
          <w:sz w:val="16"/>
          <w:szCs w:val="16"/>
          <w:color w:val="231F20"/>
        </w:rPr>
        <w:t xml:space="preserve">1. </w:t>
      </w:r>
      <w:r>
        <w:rPr xmlns:w="http://schemas.openxmlformats.org/wordprocessingml/2006/main">
          <w:rFonts w:ascii="Arial" w:cs="Arial" w:eastAsia="Arial" w:hAnsi="Arial"/>
          <w:sz w:val="16"/>
          <w:szCs w:val="16"/>
          <w:b w:val="1"/>
          <w:bCs w:val="1"/>
          <w:color w:val="231F20"/>
        </w:rPr>
        <w:t xml:space="preserve">Nie jest wiarygodnym wskaźnikiem przyszłych wyników.</w:t>
      </w:r>
    </w:p>
    <w:p>
      <w:pPr>
        <w:spacing w:after="0" w:line="16" w:lineRule="exact"/>
        <w:rPr>
          <w:sz w:val="20"/>
          <w:szCs w:val="20"/>
          <w:color w:val="auto"/>
        </w:rPr>
      </w:pPr>
    </w:p>
    <w:p>
      <w:pPr xmlns:w="http://schemas.openxmlformats.org/wordprocessingml/2006/main">
        <w:ind w:left="6419" w:hanging="199"/>
        <w:spacing w:after="0" w:line="229" w:lineRule="auto"/>
        <w:rPr>
          <w:sz w:val="20"/>
          <w:szCs w:val="20"/>
          <w:color w:val="auto"/>
        </w:rPr>
      </w:pPr>
      <w:r>
        <w:rPr xmlns:w="http://schemas.openxmlformats.org/wordprocessingml/2006/main">
          <w:rFonts w:ascii="Arial" w:cs="Arial" w:eastAsia="Arial" w:hAnsi="Arial"/>
          <w:sz w:val="16"/>
          <w:szCs w:val="16"/>
          <w:color w:val="231F20"/>
        </w:rPr>
        <w:t xml:space="preserve">2. Obejmuje opłaty bieżące i reinwestycję dochodów.</w:t>
      </w:r>
      <w:r>
        <w:rPr xmlns:w="http://schemas.openxmlformats.org/wordprocessingml/2006/main">
          <w:rFonts w:ascii="Arial" w:cs="Arial" w:eastAsia="Arial" w:hAnsi="Arial"/>
          <w:sz w:val="16"/>
          <w:szCs w:val="16"/>
          <w:color w:val="231F20"/>
        </w:rPr>
        <w:t xml:space="preserve"> Nie obejmuje on opłat za wjazd i wyjazd.</w:t>
      </w:r>
    </w:p>
    <w:p>
      <w:pPr>
        <w:spacing w:after="0" w:line="1" w:lineRule="exact"/>
        <w:rPr>
          <w:sz w:val="20"/>
          <w:szCs w:val="20"/>
          <w:color w:val="auto"/>
        </w:rPr>
      </w:pPr>
    </w:p>
    <w:p>
      <w:pPr xmlns:w="http://schemas.openxmlformats.org/wordprocessingml/2006/main">
        <w:ind w:left="6219"/>
        <w:spacing w:after="0"/>
        <w:rPr>
          <w:sz w:val="20"/>
          <w:szCs w:val="20"/>
          <w:color w:val="auto"/>
        </w:rPr>
      </w:pPr>
      <w:r>
        <w:rPr xmlns:w="http://schemas.openxmlformats.org/wordprocessingml/2006/main">
          <w:rFonts w:ascii="Arial" w:cs="Arial" w:eastAsia="Arial" w:hAnsi="Arial"/>
          <w:sz w:val="16"/>
          <w:szCs w:val="16"/>
          <w:color w:val="231F20"/>
        </w:rPr>
        <w:t xml:space="preserve">3. Zostało obliczone w USD.</w:t>
      </w:r>
    </w:p>
    <w:p>
      <w:pPr>
        <w:spacing w:after="0" w:line="16" w:lineRule="exact"/>
        <w:rPr>
          <w:sz w:val="20"/>
          <w:szCs w:val="20"/>
          <w:color w:val="auto"/>
        </w:rPr>
      </w:pPr>
    </w:p>
    <w:p>
      <w:pPr xmlns:w="http://schemas.openxmlformats.org/wordprocessingml/2006/main">
        <w:ind w:left="6019"/>
        <w:spacing w:after="0"/>
        <w:rPr>
          <w:sz w:val="20"/>
          <w:szCs w:val="20"/>
          <w:color w:val="auto"/>
        </w:rPr>
      </w:pPr>
      <w:r>
        <w:rPr xmlns:w="http://schemas.openxmlformats.org/wordprocessingml/2006/main">
          <w:rFonts w:ascii="Arial" w:cs="Arial" w:eastAsia="Arial" w:hAnsi="Arial"/>
          <w:sz w:val="16"/>
          <w:szCs w:val="16"/>
          <w:color w:val="231F20"/>
        </w:rPr>
        <w:t xml:space="preserve">2 Akcje Funduszu zostały wyemitowane po raz pierwszy w 2012 roku.</w:t>
      </w:r>
    </w:p>
    <w:p>
      <w:pPr xmlns:w="http://schemas.openxmlformats.org/wordprocessingml/2006/main">
        <w:ind w:left="6159"/>
        <w:spacing w:after="0" w:line="187" w:lineRule="auto"/>
        <w:rPr>
          <w:sz w:val="20"/>
          <w:szCs w:val="20"/>
          <w:color w:val="auto"/>
        </w:rPr>
      </w:pPr>
      <w:r>
        <w:rPr xmlns:w="http://schemas.openxmlformats.org/wordprocessingml/2006/main">
          <w:rFonts w:ascii="Arial" w:cs="Arial" w:eastAsia="Arial" w:hAnsi="Arial"/>
          <w:sz w:val="15"/>
          <w:szCs w:val="15"/>
          <w:color w:val="231F20"/>
        </w:rPr>
        <w:t xml:space="preserve">Ta klasa akcji została uruchomiona w 2019 roku.</w:t>
      </w:r>
    </w:p>
    <w:tbl>
      <w:tblPr>
        <w:tblLayout w:type="fixed"/>
        <w:tblInd w:w="0" w:type="dxa"/>
        <w:tblCellMar>
          <w:top w:w="0" w:type="dxa"/>
          <w:left w:w="0" w:type="dxa"/>
          <w:bottom w:w="0" w:type="dxa"/>
          <w:right w:w="0" w:type="dxa"/>
        </w:tblCellMar>
      </w:tblPr>
      <w:tr>
        <w:trPr>
          <w:trHeight w:val="780"/>
        </w:trPr>
        <w:tc>
          <w:tcPr>
            <w:tcW w:w="161" w:type="dxa"/>
            <w:vAlign w:val="bottom"/>
            <w:textDirection w:val="btLr"/>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Procent (%)</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xmlns:w="http://schemas.openxmlformats.org/wordprocessingml/2006/main">
        <w:ind w:left="419"/>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98425" cy="9842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extLst>
                        <a:ext uri="{28A0092B-C50C-407E-A947-70E740481C1C}"/>
                      </a:extLst>
                    </a:blip>
                    <a:srcRect/>
                    <a:stretch>
                      <a:fillRect/>
                    </a:stretch>
                  </pic:blipFill>
                  <pic:spPr bwMode="auto">
                    <a:xfrm>
                      <a:off x="0" y="0"/>
                      <a:ext cx="98425" cy="9842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Fundusz</w:t>
      </w:r>
    </w:p>
    <w:p>
      <w:pPr>
        <w:spacing w:after="0" w:line="25" w:lineRule="exact"/>
        <w:rPr>
          <w:sz w:val="20"/>
          <w:szCs w:val="20"/>
          <w:color w:val="auto"/>
        </w:rPr>
      </w:pPr>
    </w:p>
    <w:p>
      <w:pPr xmlns:w="http://schemas.openxmlformats.org/wordprocessingml/2006/main">
        <w:ind w:left="419"/>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98425" cy="9842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extLst>
                    </a:blip>
                    <a:srcRect/>
                    <a:stretch>
                      <a:fillRect/>
                    </a:stretch>
                  </pic:blipFill>
                  <pic:spPr bwMode="auto">
                    <a:xfrm>
                      <a:off x="0" y="0"/>
                      <a:ext cx="98425" cy="9842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Indeks</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93980</wp:posOffset>
                </wp:positionV>
                <wp:extent cx="6845300" cy="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17" o:spid="_x0000_s104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7.4pt" to="539.9pt,7.4pt" o:allowincell="f" strokecolor="#231F20" strokeweight="0.4pt"/>
            </w:pict>
          </mc:Fallback>
        </mc:AlternateContent>
      </w:r>
    </w:p>
    <w:p>
      <w:pPr>
        <w:spacing w:after="0" w:line="206"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Informacje praktyczne</w:t>
      </w:r>
    </w:p>
    <w:p>
      <w:pPr>
        <w:spacing w:after="0" w:line="136" w:lineRule="exact"/>
        <w:rPr>
          <w:sz w:val="20"/>
          <w:szCs w:val="20"/>
          <w:color w:val="auto"/>
        </w:rPr>
      </w:pPr>
    </w:p>
    <w:p>
      <w:pPr xmlns:w="http://schemas.openxmlformats.org/wordprocessingml/2006/main">
        <w:ind w:left="159" w:hanging="140"/>
        <w:spacing w:after="0"/>
        <w:tabs>
          <w:tab w:leader="none" w:pos="159" w:val="left"/>
        </w:tabs>
        <w:numPr>
          <w:ilvl w:val="0"/>
          <w:numId w:val="14"/>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Depozytariusz:</w:t>
      </w:r>
      <w:r>
        <w:rPr xmlns:w="http://schemas.openxmlformats.org/wordprocessingml/2006/main">
          <w:rFonts w:ascii="Arial" w:cs="Arial" w:eastAsia="Arial" w:hAnsi="Arial"/>
          <w:sz w:val="16"/>
          <w:szCs w:val="16"/>
          <w:color w:val="231F20"/>
        </w:rPr>
        <w:t xml:space="preserve"> Brown Brothers Harriman Trustee Services (Ireland) Limited.</w:t>
      </w:r>
    </w:p>
    <w:p>
      <w:pPr>
        <w:spacing w:after="0" w:line="42" w:lineRule="exact"/>
        <w:rPr>
          <w:sz w:val="20"/>
          <w:szCs w:val="20"/>
          <w:color w:val="auto"/>
        </w:rPr>
      </w:pPr>
    </w:p>
    <w:p>
      <w:pPr xmlns:w="http://schemas.openxmlformats.org/wordprocessingml/2006/main">
        <w:jc w:val="both"/>
        <w:ind w:left="159" w:hanging="139"/>
        <w:spacing w:after="0" w:line="216" w:lineRule="auto"/>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Dokumenty, ceny akcji i inne informacje:</w:t>
      </w:r>
      <w:r>
        <w:rPr xmlns:w="http://schemas.openxmlformats.org/wordprocessingml/2006/main">
          <w:rFonts w:ascii="Arial" w:cs="Arial" w:eastAsia="Arial" w:hAnsi="Arial"/>
          <w:sz w:val="16"/>
          <w:szCs w:val="16"/>
          <w:color w:val="231F20"/>
        </w:rPr>
        <w:t xml:space="preserve"> Możesz otrzymać kopie Prospektu oraz ostatniego raportu rocznego i półrocznego oraz sprawozdania finansowe dla Vanguard Funds plc ("VF") wraz z najnowszymi opublikowanymi cenami akcji i innymi praktycznymi informacjami, od VF c/o Brown Brothers Harriman Fund Administration Services (Ireland) Limited, 30 Herbert Street, Dublin 2, D02 W329, Irlandia lub z naszej strony internetowej pod adresem https://global.vanguard.com.</w:t>
      </w:r>
      <w:r>
        <w:rPr xmlns:w="http://schemas.openxmlformats.org/wordprocessingml/2006/main">
          <w:rFonts w:ascii="Arial" w:cs="Arial" w:eastAsia="Arial" w:hAnsi="Arial"/>
          <w:sz w:val="16"/>
          <w:szCs w:val="16"/>
          <w:color w:val="231F20"/>
        </w:rPr>
        <w:t xml:space="preserve"> Informacje na temat polityki ujawniania informacji o portfelu Funduszu oraz publikacji iNAV można uzyskać na stronie https://global.vanguard.com/portal/site/portal/ucits-documentation.</w:t>
      </w:r>
      <w:r>
        <w:rPr xmlns:w="http://schemas.openxmlformats.org/wordprocessingml/2006/main">
          <w:rFonts w:ascii="Arial" w:cs="Arial" w:eastAsia="Arial" w:hAnsi="Arial"/>
          <w:sz w:val="16"/>
          <w:szCs w:val="16"/>
          <w:color w:val="231F20"/>
        </w:rPr>
        <w:t xml:space="preserve"> Dokumenty są dostępne w języku angielskim i są bezpłatne.</w:t>
      </w:r>
    </w:p>
    <w:p>
      <w:pPr>
        <w:spacing w:after="0" w:line="2" w:lineRule="exact"/>
        <w:rPr>
          <w:sz w:val="20"/>
          <w:szCs w:val="20"/>
          <w:color w:val="auto"/>
        </w:rPr>
      </w:pPr>
    </w:p>
    <w:p>
      <w:pPr xmlns:w="http://schemas.openxmlformats.org/wordprocessingml/2006/main">
        <w:ind w:left="159" w:hanging="140"/>
        <w:spacing w:after="0"/>
        <w:tabs>
          <w:tab w:leader="none" w:pos="159" w:val="left"/>
        </w:tabs>
        <w:numPr>
          <w:ilvl w:val="0"/>
          <w:numId w:val="15"/>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Ceny:</w:t>
      </w:r>
      <w:r>
        <w:rPr xmlns:w="http://schemas.openxmlformats.org/wordprocessingml/2006/main">
          <w:rFonts w:ascii="Arial" w:cs="Arial" w:eastAsia="Arial" w:hAnsi="Arial"/>
          <w:sz w:val="16"/>
          <w:szCs w:val="16"/>
          <w:color w:val="231F20"/>
        </w:rPr>
        <w:t xml:space="preserve"> Ostatnie opublikowane ceny akcji Funduszu dostępne są również na stronie internetowej FT www.ft.com lub https://global.vanguard.com</w:t>
      </w:r>
    </w:p>
    <w:p>
      <w:pPr>
        <w:spacing w:after="0" w:line="26" w:lineRule="exact"/>
        <w:rPr>
          <w:sz w:val="20"/>
          <w:szCs w:val="20"/>
          <w:color w:val="auto"/>
        </w:rPr>
      </w:pPr>
    </w:p>
    <w:p>
      <w:pPr xmlns:w="http://schemas.openxmlformats.org/wordprocessingml/2006/main">
        <w:ind w:left="159" w:hanging="140"/>
        <w:spacing w:after="0" w:line="228" w:lineRule="auto"/>
        <w:tabs>
          <w:tab w:leader="none" w:pos="159" w:val="left"/>
        </w:tabs>
        <w:numPr>
          <w:ilvl w:val="0"/>
          <w:numId w:val="16"/>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Podatki:</w:t>
      </w:r>
      <w:r>
        <w:rPr xmlns:w="http://schemas.openxmlformats.org/wordprocessingml/2006/main">
          <w:rFonts w:ascii="Arial" w:cs="Arial" w:eastAsia="Arial" w:hAnsi="Arial"/>
          <w:sz w:val="16"/>
          <w:szCs w:val="16"/>
          <w:color w:val="231F20"/>
        </w:rPr>
        <w:t xml:space="preserve"> VF podlega irlandzkim przepisom podatkowym.</w:t>
      </w:r>
      <w:r>
        <w:rPr xmlns:w="http://schemas.openxmlformats.org/wordprocessingml/2006/main">
          <w:rFonts w:ascii="Arial" w:cs="Arial" w:eastAsia="Arial" w:hAnsi="Arial"/>
          <w:sz w:val="16"/>
          <w:szCs w:val="16"/>
          <w:color w:val="231F20"/>
        </w:rPr>
        <w:t xml:space="preserve"> W zależności od państwa zamieszkania może to mieć wpływ na Pana/Pani sytuację podatkową.</w:t>
      </w:r>
      <w:r>
        <w:rPr xmlns:w="http://schemas.openxmlformats.org/wordprocessingml/2006/main">
          <w:rFonts w:ascii="Arial" w:cs="Arial" w:eastAsia="Arial" w:hAnsi="Arial"/>
          <w:sz w:val="16"/>
          <w:szCs w:val="16"/>
          <w:color w:val="231F20"/>
        </w:rPr>
        <w:t xml:space="preserve"> Zalecamy konsultację z profesjonalnym doradcą podatkowym.</w:t>
      </w:r>
    </w:p>
    <w:p>
      <w:pPr xmlns:w="http://schemas.openxmlformats.org/wordprocessingml/2006/main">
        <w:ind w:left="159" w:hanging="140"/>
        <w:spacing w:after="0" w:line="234" w:lineRule="auto"/>
        <w:tabs>
          <w:tab w:leader="none" w:pos="159" w:val="left"/>
        </w:tabs>
        <w:numPr>
          <w:ilvl w:val="0"/>
          <w:numId w:val="17"/>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Odpowiedzialność:</w:t>
      </w:r>
      <w:r>
        <w:rPr xmlns:w="http://schemas.openxmlformats.org/wordprocessingml/2006/main">
          <w:rFonts w:ascii="Arial" w:cs="Arial" w:eastAsia="Arial" w:hAnsi="Arial"/>
          <w:sz w:val="16"/>
          <w:szCs w:val="16"/>
          <w:color w:val="231F20"/>
        </w:rPr>
        <w:t xml:space="preserve"> VGIL może zostać pociągnięta do odpowiedzialności wyłącznie na podstawie jakiegokolwiek oświadczenia zawartego w niniejszym dokumencie, które wprowadza w błąd, jest niedokładne lub niezgodne z odpowiednimi częściami prospektu emisyjnego dla VF.</w:t>
      </w:r>
    </w:p>
    <w:p>
      <w:pPr>
        <w:spacing w:after="0" w:line="1" w:lineRule="exact"/>
        <w:rPr>
          <w:sz w:val="20"/>
          <w:szCs w:val="20"/>
          <w:color w:val="auto"/>
        </w:rPr>
      </w:pPr>
    </w:p>
    <w:p>
      <w:pPr xmlns:w="http://schemas.openxmlformats.org/wordprocessingml/2006/main">
        <w:ind w:left="159" w:hanging="139"/>
        <w:spacing w:after="0" w:line="236" w:lineRule="auto"/>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Subfundusze:</w:t>
      </w:r>
      <w:r>
        <w:rPr xmlns:w="http://schemas.openxmlformats.org/wordprocessingml/2006/main">
          <w:rFonts w:ascii="Arial" w:cs="Arial" w:eastAsia="Arial" w:hAnsi="Arial"/>
          <w:sz w:val="16"/>
          <w:szCs w:val="16"/>
          <w:color w:val="231F20"/>
        </w:rPr>
        <w:t xml:space="preserve"> VF jest funduszem parasolowym z szeregiem subfunduszy.</w:t>
      </w:r>
      <w:r>
        <w:rPr xmlns:w="http://schemas.openxmlformats.org/wordprocessingml/2006/main">
          <w:rFonts w:ascii="Arial" w:cs="Arial" w:eastAsia="Arial" w:hAnsi="Arial"/>
          <w:sz w:val="16"/>
          <w:szCs w:val="16"/>
          <w:color w:val="231F20"/>
        </w:rPr>
        <w:t xml:space="preserve"> Niniejszy dokument opisuje subfundusz funduszy inwestycyjnych.</w:t>
      </w:r>
      <w:r>
        <w:rPr xmlns:w="http://schemas.openxmlformats.org/wordprocessingml/2006/main">
          <w:rFonts w:ascii="Arial" w:cs="Arial" w:eastAsia="Arial" w:hAnsi="Arial"/>
          <w:sz w:val="16"/>
          <w:szCs w:val="16"/>
          <w:color w:val="231F20"/>
        </w:rPr>
        <w:t xml:space="preserve"> Prospekt emisyjny oraz raporty okresowe przygotowywane są dla całej spółki.</w:t>
      </w:r>
    </w:p>
    <w:p>
      <w:pPr xmlns:w="http://schemas.openxmlformats.org/wordprocessingml/2006/main">
        <w:ind w:left="159" w:hanging="140"/>
        <w:spacing w:after="0" w:line="234" w:lineRule="auto"/>
        <w:tabs>
          <w:tab w:leader="none" w:pos="159" w:val="left"/>
        </w:tabs>
        <w:numPr>
          <w:ilvl w:val="0"/>
          <w:numId w:val="18"/>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VF jest funduszem parasolowym, którego odpowiedzialność jest rozdzielona między subfundusze.</w:t>
      </w:r>
      <w:r>
        <w:rPr xmlns:w="http://schemas.openxmlformats.org/wordprocessingml/2006/main">
          <w:rFonts w:ascii="Arial" w:cs="Arial" w:eastAsia="Arial" w:hAnsi="Arial"/>
          <w:sz w:val="16"/>
          <w:szCs w:val="16"/>
          <w:color w:val="231F20"/>
        </w:rPr>
        <w:t xml:space="preserve"> Oznacza to, że udziały funduszu są utrzymywane odrębnie na mocy prawa irlandzkiego od udziałów innych subfunduszy VF, a na inwestycję w fundusz nie będą miały wpływu żadne roszczenia wobec jakiegokolwiek innego subfunduszu VF.</w:t>
      </w:r>
    </w:p>
    <w:p>
      <w:pPr>
        <w:spacing w:after="0" w:line="1" w:lineRule="exact"/>
        <w:rPr>
          <w:sz w:val="20"/>
          <w:szCs w:val="20"/>
          <w:color w:val="auto"/>
        </w:rPr>
      </w:pPr>
    </w:p>
    <w:p>
      <w:pPr xmlns:w="http://schemas.openxmlformats.org/wordprocessingml/2006/main">
        <w:ind w:left="159" w:hanging="140"/>
        <w:spacing w:after="0" w:line="234" w:lineRule="auto"/>
        <w:tabs>
          <w:tab w:leader="none" w:pos="159" w:val="left"/>
        </w:tabs>
        <w:numPr>
          <w:ilvl w:val="0"/>
          <w:numId w:val="19"/>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Akcje:</w:t>
      </w:r>
      <w:r>
        <w:rPr xmlns:w="http://schemas.openxmlformats.org/wordprocessingml/2006/main">
          <w:rFonts w:ascii="Arial" w:cs="Arial" w:eastAsia="Arial" w:hAnsi="Arial"/>
          <w:sz w:val="16"/>
          <w:szCs w:val="16"/>
          <w:color w:val="231F20"/>
        </w:rPr>
        <w:t xml:space="preserve"> Akcje ETF w Funduszu nie mogą być wymieniane na Akcje ETF w żadnych innych subfunduszach VF, jednakże AP mogą, po uprzedniej zgodzie, przenieść Akcje ETF w Funduszu do innej klasy akcji tego samego Funduszu, jeżeli dostępne są inne klasy akcji.</w:t>
      </w:r>
    </w:p>
    <w:p>
      <w:pPr>
        <w:spacing w:after="0" w:line="1" w:lineRule="exact"/>
        <w:rPr>
          <w:sz w:val="20"/>
          <w:szCs w:val="20"/>
          <w:color w:val="auto"/>
        </w:rPr>
      </w:pPr>
    </w:p>
    <w:p>
      <w:pPr xmlns:w="http://schemas.openxmlformats.org/wordprocessingml/2006/main">
        <w:ind w:left="159" w:hanging="140"/>
        <w:spacing w:after="0"/>
        <w:tabs>
          <w:tab w:leader="none" w:pos="159" w:val="left"/>
        </w:tabs>
        <w:numPr>
          <w:ilvl w:val="0"/>
          <w:numId w:val="2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Informacje o innych klasach akcji oferowanych przez VF znajdują się w prospekcie emisyjnym lub na naszej stronie internetowej pod adresem https://global.vanguard.com.</w:t>
      </w:r>
    </w:p>
    <w:p>
      <w:pPr>
        <w:spacing w:after="0" w:line="16" w:lineRule="exact"/>
        <w:rPr>
          <w:sz w:val="20"/>
          <w:szCs w:val="20"/>
          <w:color w:val="auto"/>
        </w:rPr>
      </w:pPr>
    </w:p>
    <w:p>
      <w:pPr xmlns:w="http://schemas.openxmlformats.org/wordprocessingml/2006/main">
        <w:ind w:left="159" w:hanging="140"/>
        <w:spacing w:after="0"/>
        <w:tabs>
          <w:tab w:leader="none" w:pos="159" w:val="left"/>
        </w:tabs>
        <w:numPr>
          <w:ilvl w:val="0"/>
          <w:numId w:val="21"/>
        </w:numPr>
        <w:rPr>
          <w:rFonts w:ascii="Arial" w:cs="Arial" w:eastAsia="Arial" w:hAnsi="Arial"/>
          <w:sz w:val="13"/>
          <w:szCs w:val="13"/>
          <w:color w:val="231F20"/>
        </w:rPr>
      </w:pPr>
      <w:r>
        <w:rPr xmlns:w="http://schemas.openxmlformats.org/wordprocessingml/2006/main">
          <w:rFonts w:ascii="Arial" w:cs="Arial" w:eastAsia="Arial" w:hAnsi="Arial"/>
          <w:sz w:val="13"/>
          <w:szCs w:val="13"/>
          <w:b w:val="1"/>
          <w:bCs w:val="1"/>
          <w:color w:val="231F20"/>
        </w:rPr>
        <w:t xml:space="preserve">Polityka wynagrodzeń:</w:t>
      </w:r>
      <w:r>
        <w:rPr xmlns:w="http://schemas.openxmlformats.org/wordprocessingml/2006/main">
          <w:rFonts w:ascii="Arial" w:cs="Arial" w:eastAsia="Arial" w:hAnsi="Arial"/>
          <w:sz w:val="13"/>
          <w:szCs w:val="13"/>
          <w:color w:val="231F20"/>
        </w:rPr>
        <w:t xml:space="preserve"> Szczegóły Polityki Wynagrodzeń VGIL dostępne są na stronie https://www.ie.vanguard/content/dam/intl/europe/documents/ch/en/ucits-v-remuneration-policy.pdf</w:t>
      </w:r>
    </w:p>
    <w:p>
      <w:pPr>
        <w:spacing w:after="0" w:line="42" w:lineRule="exact"/>
        <w:rPr>
          <w:rFonts w:ascii="Arial" w:cs="Arial" w:eastAsia="Arial" w:hAnsi="Arial"/>
          <w:sz w:val="13"/>
          <w:szCs w:val="13"/>
          <w:color w:val="231F20"/>
        </w:rPr>
      </w:pPr>
    </w:p>
    <w:p>
      <w:pPr xmlns:w="http://schemas.openxmlformats.org/wordprocessingml/2006/main">
        <w:ind w:left="159"/>
        <w:spacing w:after="0" w:line="222" w:lineRule="auto"/>
        <w:rPr>
          <w:rFonts w:ascii="Arial" w:cs="Arial" w:eastAsia="Arial" w:hAnsi="Arial"/>
          <w:sz w:val="13"/>
          <w:szCs w:val="13"/>
          <w:color w:val="231F20"/>
        </w:rPr>
      </w:pPr>
      <w:r>
        <w:rPr xmlns:w="http://schemas.openxmlformats.org/wordprocessingml/2006/main">
          <w:rFonts w:ascii="Arial" w:cs="Arial" w:eastAsia="Arial" w:hAnsi="Arial"/>
          <w:sz w:val="15"/>
          <w:szCs w:val="15"/>
          <w:color w:val="231F20"/>
        </w:rPr>
        <w:t xml:space="preserve">w tym: a) opis sposobu obliczania wynagrodzenia i świadczeń; oraz b) dane osób odpowiedzialnych za przyznawanie wynagrodzenia oraz</w:t>
      </w:r>
    </w:p>
    <w:p>
      <w:pPr xmlns:w="http://schemas.openxmlformats.org/wordprocessingml/2006/main">
        <w:ind w:left="159"/>
        <w:spacing w:after="0" w:line="220" w:lineRule="auto"/>
        <w:rPr>
          <w:sz w:val="20"/>
          <w:szCs w:val="20"/>
          <w:color w:val="auto"/>
        </w:rPr>
      </w:pPr>
      <w:r>
        <w:rPr xmlns:w="http://schemas.openxmlformats.org/wordprocessingml/2006/main">
          <w:rFonts w:ascii="Arial" w:cs="Arial" w:eastAsia="Arial" w:hAnsi="Arial"/>
          <w:sz w:val="16"/>
          <w:szCs w:val="16"/>
          <w:color w:val="231F20"/>
        </w:rPr>
        <w:t xml:space="preserve">korzyści.</w:t>
      </w:r>
      <w:r>
        <w:rPr xmlns:w="http://schemas.openxmlformats.org/wordprocessingml/2006/main">
          <w:rFonts w:ascii="Arial" w:cs="Arial" w:eastAsia="Arial" w:hAnsi="Arial"/>
          <w:sz w:val="16"/>
          <w:szCs w:val="16"/>
          <w:color w:val="231F20"/>
        </w:rPr>
        <w:t xml:space="preserve"> Na życzenie VGIL, na 70 Sir John Rogerson's Quay, Dublin 2, Irlandia, można bezpłatnie otrzymać papierową kopię tych danych.</w:t>
      </w:r>
    </w:p>
    <w:p>
      <w:pPr>
        <w:sectPr>
          <w:pgSz w:w="11900" w:h="16940" w:orient="portrait"/>
          <w:cols w:equalWidth="0" w:num="1">
            <w:col w:w="10799"/>
          </w:cols>
          <w:pgMar w:left="541" w:top="477" w:right="560"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9" w:lineRule="exact"/>
        <w:rPr>
          <w:sz w:val="20"/>
          <w:szCs w:val="20"/>
          <w:color w:val="auto"/>
        </w:rPr>
      </w:pPr>
    </w:p>
    <w:p>
      <w:pPr xmlns:w="http://schemas.openxmlformats.org/wordprocessingml/2006/main">
        <w:ind w:left="19"/>
        <w:spacing w:after="0" w:line="251" w:lineRule="auto"/>
        <w:rPr>
          <w:sz w:val="20"/>
          <w:szCs w:val="20"/>
          <w:color w:val="auto"/>
        </w:rPr>
      </w:pPr>
      <w:r>
        <w:rPr xmlns:w="http://schemas.openxmlformats.org/wordprocessingml/2006/main">
          <w:rFonts w:ascii="Arial" w:cs="Arial" w:eastAsia="Arial" w:hAnsi="Arial"/>
          <w:sz w:val="16"/>
          <w:szCs w:val="16"/>
          <w:color w:val="231F20"/>
        </w:rPr>
        <w:t xml:space="preserve">Fundusz posiada zezwolenie w Irlandii i jest regulowany przez Central Bank of Ireland ("Central Bank").</w:t>
      </w:r>
      <w:r>
        <w:rPr xmlns:w="http://schemas.openxmlformats.org/wordprocessingml/2006/main">
          <w:rFonts w:ascii="Arial" w:cs="Arial" w:eastAsia="Arial" w:hAnsi="Arial"/>
          <w:sz w:val="16"/>
          <w:szCs w:val="16"/>
          <w:color w:val="231F20"/>
        </w:rPr>
        <w:t xml:space="preserve"> VGIL jest autoryzowany w Irlandii i regulowany przez Bank Centralny. Te kluczowe informacje dla inwestorów są dokładne na dzień 17/02/2023 r.</w:t>
      </w:r>
    </w:p>
    <w:sectPr>
      <w:pgSz w:w="11900" w:h="16940" w:orient="portrait"/>
      <w:cols w:equalWidth="0" w:num="1">
        <w:col w:w="10799"/>
      </w:cols>
      <w:pgMar w:left="541" w:top="477" w:right="560"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3BD39F2A"/>
    <w:multiLevelType w:val="hybridMultilevel"/>
    <w:lvl w:ilvl="0">
      <w:lvlJc w:val="left"/>
      <w:lvlText w:val="%1"/>
      <w:numFmt w:val="decimal"/>
      <w:start w:val="2"/>
    </w:lvl>
    <w:lvl w:ilvl="1">
      <w:lvlJc w:val="left"/>
      <w:lvlText w:val="%2."/>
      <w:numFmt w:val="decimal"/>
      <w:start w:val="1"/>
    </w:lvl>
  </w:abstractNum>
  <w:abstractNum w:abstractNumId="1">
    <w:nsid w:val="68CFDF57"/>
    <w:multiLevelType w:val="hybridMultilevel"/>
    <w:lvl w:ilvl="0">
      <w:lvlJc w:val="left"/>
      <w:lvlText w:val="%1"/>
      <w:numFmt w:val="decimal"/>
      <w:start w:val="2"/>
    </w:lvl>
  </w:abstractNum>
  <w:abstractNum w:abstractNumId="2">
    <w:nsid w:val="84C23B4"/>
    <w:multiLevelType w:val="hybridMultilevel"/>
    <w:lvl w:ilvl="0">
      <w:lvlJc w:val="left"/>
      <w:lvlText w:val="%1"/>
      <w:numFmt w:val="decimal"/>
      <w:start w:val="2"/>
    </w:lvl>
  </w:abstractNum>
  <w:abstractNum w:abstractNumId="3">
    <w:nsid w:val="72700615"/>
    <w:multiLevelType w:val="hybridMultilevel"/>
    <w:lvl w:ilvl="0">
      <w:lvlJc w:val="left"/>
      <w:lvlText w:val="%1"/>
      <w:numFmt w:val="decimal"/>
      <w:start w:val="2"/>
    </w:lvl>
  </w:abstractNum>
  <w:abstractNum w:abstractNumId="4">
    <w:nsid w:val="2B625AFC"/>
    <w:multiLevelType w:val="hybridMultilevel"/>
    <w:lvl w:ilvl="0">
      <w:lvlJc w:val="left"/>
      <w:lvlText w:val="%1"/>
      <w:numFmt w:val="decimal"/>
      <w:start w:val="2"/>
    </w:lvl>
  </w:abstractNum>
  <w:abstractNum w:abstractNumId="5">
    <w:nsid w:val="7C988F8F"/>
    <w:multiLevelType w:val="hybridMultilevel"/>
    <w:lvl w:ilvl="0">
      <w:lvlJc w:val="left"/>
      <w:lvlText w:val="%1"/>
      <w:numFmt w:val="decimal"/>
      <w:start w:val="2"/>
    </w:lvl>
  </w:abstractNum>
  <w:abstractNum w:abstractNumId="6">
    <w:nsid w:val="72869FBF"/>
    <w:multiLevelType w:val="hybridMultilevel"/>
    <w:lvl w:ilvl="0">
      <w:lvlJc w:val="left"/>
      <w:lvlText w:val="%1"/>
      <w:numFmt w:val="decimal"/>
      <w:start w:val="2"/>
    </w:lvl>
  </w:abstractNum>
  <w:abstractNum w:abstractNumId="7">
    <w:nsid w:val="12AD2AE7"/>
    <w:multiLevelType w:val="hybridMultilevel"/>
    <w:lvl w:ilvl="0">
      <w:lvlJc w:val="left"/>
      <w:lvlText w:val="%1"/>
      <w:numFmt w:val="decimal"/>
      <w:start w:val="2"/>
    </w:lvl>
  </w:abstractNum>
  <w:abstractNum w:abstractNumId="8">
    <w:nsid w:val="582C34D6"/>
    <w:multiLevelType w:val="hybridMultilevel"/>
    <w:lvl w:ilvl="0">
      <w:lvlJc w:val="left"/>
      <w:lvlText w:val="%1"/>
      <w:numFmt w:val="decimal"/>
      <w:start w:val="2"/>
    </w:lvl>
  </w:abstractNum>
  <w:abstractNum w:abstractNumId="9">
    <w:nsid w:val="26C80144"/>
    <w:multiLevelType w:val="hybridMultilevel"/>
    <w:lvl w:ilvl="0">
      <w:lvlJc w:val="left"/>
      <w:lvlText w:val="-"/>
      <w:numFmt w:val="bullet"/>
      <w:start w:val="1"/>
    </w:lvl>
  </w:abstractNum>
  <w:abstractNum w:abstractNumId="10">
    <w:nsid w:val="106E3F01"/>
    <w:multiLevelType w:val="hybridMultilevel"/>
    <w:lvl w:ilvl="0">
      <w:lvlJc w:val="left"/>
      <w:lvlText w:val="%1"/>
      <w:numFmt w:val="decimal"/>
      <w:start w:val="2"/>
    </w:lvl>
  </w:abstractNum>
  <w:abstractNum w:abstractNumId="11">
    <w:nsid w:val="204A674A"/>
    <w:multiLevelType w:val="hybridMultilevel"/>
    <w:lvl w:ilvl="0">
      <w:lvlJc w:val="left"/>
      <w:lvlText w:val="%1"/>
      <w:numFmt w:val="decimal"/>
      <w:start w:val="2"/>
    </w:lvl>
  </w:abstractNum>
  <w:abstractNum w:abstractNumId="12">
    <w:nsid w:val="69EE0584"/>
    <w:multiLevelType w:val="hybridMultilevel"/>
    <w:lvl w:ilvl="0">
      <w:lvlJc w:val="left"/>
      <w:lvlText w:val="*"/>
      <w:numFmt w:val="bullet"/>
      <w:start w:val="1"/>
    </w:lvl>
  </w:abstractNum>
  <w:abstractNum w:abstractNumId="13">
    <w:nsid w:val="3D274318"/>
    <w:multiLevelType w:val="hybridMultilevel"/>
    <w:lvl w:ilvl="0">
      <w:lvlJc w:val="left"/>
      <w:lvlText w:val="%1"/>
      <w:numFmt w:val="decimal"/>
      <w:start w:val="2"/>
    </w:lvl>
  </w:abstractNum>
  <w:abstractNum w:abstractNumId="14">
    <w:nsid w:val="74F0E181"/>
    <w:multiLevelType w:val="hybridMultilevel"/>
    <w:lvl w:ilvl="0">
      <w:lvlJc w:val="left"/>
      <w:lvlText w:val="%1"/>
      <w:numFmt w:val="decimal"/>
      <w:start w:val="2"/>
    </w:lvl>
  </w:abstractNum>
  <w:abstractNum w:abstractNumId="15">
    <w:nsid w:val="46622EF5"/>
    <w:multiLevelType w:val="hybridMultilevel"/>
    <w:lvl w:ilvl="0">
      <w:lvlJc w:val="left"/>
      <w:lvlText w:val="%1"/>
      <w:numFmt w:val="decimal"/>
      <w:start w:val="2"/>
    </w:lvl>
  </w:abstractNum>
  <w:abstractNum w:abstractNumId="16">
    <w:nsid w:val="1F3DEA8B"/>
    <w:multiLevelType w:val="hybridMultilevel"/>
    <w:lvl w:ilvl="0">
      <w:lvlJc w:val="left"/>
      <w:lvlText w:val="%1"/>
      <w:numFmt w:val="decimal"/>
      <w:start w:val="2"/>
    </w:lvl>
  </w:abstractNum>
  <w:abstractNum w:abstractNumId="17">
    <w:nsid w:val="1025ED00"/>
    <w:multiLevelType w:val="hybridMultilevel"/>
    <w:lvl w:ilvl="0">
      <w:lvlJc w:val="left"/>
      <w:lvlText w:val="%1"/>
      <w:numFmt w:val="decimal"/>
      <w:start w:val="2"/>
    </w:lvl>
  </w:abstractNum>
  <w:abstractNum w:abstractNumId="18">
    <w:nsid w:val="B544485"/>
    <w:multiLevelType w:val="hybridMultilevel"/>
    <w:lvl w:ilvl="0">
      <w:lvlJc w:val="left"/>
      <w:lvlText w:val="%1"/>
      <w:numFmt w:val="decimal"/>
      <w:start w:val="2"/>
    </w:lvl>
  </w:abstractNum>
  <w:abstractNum w:abstractNumId="19">
    <w:nsid w:val="323DEF5F"/>
    <w:multiLevelType w:val="hybridMultilevel"/>
    <w:lvl w:ilvl="0">
      <w:lvlJc w:val="left"/>
      <w:lvlText w:val="%1"/>
      <w:numFmt w:val="decimal"/>
      <w:start w:val="2"/>
    </w:lvl>
  </w:abstractNum>
  <w:abstractNum w:abstractNumId="20">
    <w:nsid w:val="55E1E50B"/>
    <w:multiLevelType w:val="hybridMultilevel"/>
    <w:lvl w:ilvl="0">
      <w:lvlJc w:val="left"/>
      <w:lvlText w:val="%1"/>
      <w:numFmt w:val="decimal"/>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jpeg"/><Relationship Id="rId16" Type="http://schemas.openxmlformats.org/officeDocument/2006/relationships/image" Target="media/image5.png"/><Relationship Id="rId17" Type="http://schemas.openxmlformats.org/officeDocument/2006/relationships/image" Target="media/image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2024-05-21T10:08:01Z</dcterms:created>
  <dcterms:modified xsi:type="dcterms:W3CDTF">2024-05-21T10:08:01Z</dcterms:modified>
</cp:coreProperties>
</file>