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 xmlns:w="http://schemas.openxmlformats.org/wordprocessingml/2006/main">
        <w:ind w:left="37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drawing xmlns:w="http://schemas.openxmlformats.org/wordprocessingml/2006/main">
          <wp:anchor xmlns:wp="http://schemas.openxmlformats.org/drawingml/2006/wordprocessingDrawing" simplePos="0" relativeHeight="251657728" behindDoc="1" locked="0" layoutInCell="0" allowOverlap="1">
            <wp:simplePos x="0" y="0"/>
            <wp:positionH relativeFrom="page">
              <wp:posOffset>396240</wp:posOffset>
            </wp:positionH>
            <wp:positionV relativeFrom="page">
              <wp:posOffset>360045</wp:posOffset>
            </wp:positionV>
            <wp:extent cx="1419225" cy="4762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 xmlns:w="http://schemas.openxmlformats.org/wordprocessingml/2006/main">
          <w:rFonts w:ascii="Arial" w:cs="Arial" w:eastAsia="Arial" w:hAnsi="Arial"/>
          <w:sz w:val="20"/>
          <w:szCs w:val="20"/>
          <w:color w:val="auto"/>
        </w:rPr>
        <w:t xml:space="preserve">KLUCZOWE INFORMACJE DLA INWESTORÓW</w:t>
      </w:r>
    </w:p>
    <w:p>
      <w:pPr>
        <w:spacing w:after="0" w:line="6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3720" w:right="12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Niniejszy dokument zawiera kluczowe informacje dla inwestorów na temat tego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Nie jest to materiał marketingowy.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Informacje te są wymagane przez prawo, aby pomóc Ci zrozumieć charakter i ryzyko inwestowania w ten Fundusz.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Zachęcamy do zapoznania się z nią, aby móc podjąć świadomą decyzję o ewentualnej inwestycji.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-24765</wp:posOffset>
            </wp:positionV>
            <wp:extent cx="6767830" cy="639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639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4"/>
          <w:szCs w:val="24"/>
          <w:color w:val="auto"/>
        </w:rPr>
      </w:pPr>
    </w:p>
    <w:tbl>
      <w:tblPr>
        <w:tblLayout w:type="fixed"/>
        <w:tblInd w:w="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45"/>
        </w:trPr>
        <w:tc>
          <w:tcPr>
            <w:tcW w:w="4900" w:type="dxa"/>
            <w:vAlign w:val="bottom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8"/>
                <w:szCs w:val="28"/>
                <w:color w:val="FFFFFF"/>
                <w:w w:val="96"/>
              </w:rPr>
              <w:t xml:space="preserve">Akcje amerykańskie UCITS agregatowe</w:t>
            </w:r>
          </w:p>
        </w:tc>
        <w:tc>
          <w:tcPr>
            <w:tcW w:w="2500" w:type="dxa"/>
            <w:vAlign w:val="bottom"/>
          </w:tcPr>
          <w:p>
            <w:pPr xmlns:w="http://schemas.openxmlformats.org/wordprocessingml/2006/main"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2"/>
                <w:szCs w:val="22"/>
                <w:color w:val="auto"/>
                <w:w w:val="88"/>
              </w:rPr>
              <w:t xml:space="preserve">Klasa akcji USD (Acc)</w:t>
            </w:r>
          </w:p>
        </w:tc>
        <w:tc>
          <w:tcPr>
            <w:tcW w:w="2140" w:type="dxa"/>
            <w:vAlign w:val="bottom"/>
            <w:vMerge w:val="restart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  <w:w w:val="86"/>
              </w:rPr>
              <w:t xml:space="preserve">Fundusz typu ETF (ang. Exchange Traded Fund)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42"/>
        </w:trPr>
        <w:tc>
          <w:tcPr>
            <w:tcW w:w="4900" w:type="dxa"/>
            <w:vAlign w:val="bottom"/>
            <w:vMerge w:val="restart"/>
          </w:tcPr>
          <w:p>
            <w:pPr xmlns:w="http://schemas.openxmlformats.org/wordprocessingml/2006/main"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20"/>
                <w:szCs w:val="20"/>
                <w:color w:val="FFFFFF"/>
              </w:rPr>
              <w:t xml:space="preserve">Subfundusz akcji iShares II plc</w:t>
            </w:r>
          </w:p>
        </w:tc>
        <w:tc>
          <w:tcPr>
            <w:tcW w:w="2500" w:type="dxa"/>
            <w:vAlign w:val="bottom"/>
          </w:tcPr>
          <w:p>
            <w:pPr xmlns:w="http://schemas.openxmlformats.org/wordprocessingml/2006/main"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8"/>
                <w:szCs w:val="18"/>
                <w:color w:val="auto"/>
              </w:rPr>
              <w:t xml:space="preserve">ISIN: IE00BYXYYM63</w:t>
            </w:r>
          </w:p>
        </w:tc>
        <w:tc>
          <w:tcPr>
            <w:tcW w:w="2140" w:type="dxa"/>
            <w:vAlign w:val="bottom"/>
            <w:vMerge w:val="continue"/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04"/>
        </w:trPr>
        <w:tc>
          <w:tcPr>
            <w:tcW w:w="4900" w:type="dxa"/>
            <w:vAlign w:val="bottom"/>
            <w:vMerge w:val="continue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50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9"/>
                <w:szCs w:val="9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 xmlns:w="http://schemas.openxmlformats.org/wordprocessingml/2006/main">
        <w:ind w:left="5400"/>
        <w:spacing w:after="0" w:line="2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8"/>
          <w:szCs w:val="18"/>
          <w:color w:val="auto"/>
        </w:rPr>
        <w:t xml:space="preserve">Menedżer: BlackRock Asset Management Ireland Limited</w:t>
      </w:r>
    </w:p>
    <w:p>
      <w:pPr>
        <w:spacing w:after="0" w:line="7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Cele i polityka inwestycyjna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22860</wp:posOffset>
            </wp:positionV>
            <wp:extent cx="6767830" cy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74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40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Klasa akcji to klasa akcji funduszu, której celem jest uzyskanie zwrotu z inwestycji poprzez połączenie wzrostu kapitału i dochodu z inwestycji funduszy, co odzwierciedla zwrot z indeksu Bloomberg Barclays US Aggregate Bond Index, indeksu referencyjnego funduszu (Index).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6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Klasa akcji, za pośrednictwem Funduszu, jest zarządzana pasywnie i ma na celu inwestowanie, w miarę możliwości i możliwości, w papiery wartościowe o stałym dochodzie (FI) (takie jak obligacje), które tworzą Indeks i spełniają jego wymogi w zakresie ratingu kredytowego.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Jeżeli ratingi kredytowe papierów wartościowych FI ulegną obniżeniu, Fundusz może utrzymać je do momentu, gdy przestaną one stanowić część Indeksu i praktycznie będzie można je sprzedać.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Indeks mierzy wyniki rynku obligacji podlegających opodatkowaniu denominowanych w dolarach amerykańskich.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Papiery wartościowe FI mogą być emitowane przez amerykański skarb państwa, agencje rządowe i spółki i mogą obejmować papiery wartościowe zabezpieczone aktywami, zabezpieczone komercyjnymi kredytami hipotecznymi i zabezpieczone hipoteką (tj. papiery wartościowe zabezpieczone przepływami pieniężnymi z długu).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Papiery wartościowe FI będą denominowane w dolarach amerykańskich, będą wypłacać dochód według stałej stopy procentowej i w momencie włączenia do Indeksu będą miały rating inwestycyjny (tj. osiągną określony poziom zdolności kredytowej).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W celu włączenia do Indeksu brane są pod uwagę wyłącznie obligacje, których minimalny okres pozostały do terminu zapadalności wynosi jeden rok.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140" w:hanging="134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Fundusz stosuje techniki optymalizacyjne, aby osiągnąć podobny zwrot ze swojego Indeksu.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Mogą one obejmować strategiczny wybór niektórych papierów wartościowych wchodzących w skład Indeksu lub innych papierów wartościowych FI, które mają podobne wyniki do niektórych składowych papierów wartościowych.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Mogą one również obejmować wykorzystanie finansowych instrumentów pochodnych (BIZ) (tj. inwestycji, których ceny opierają się na jednym lub kilku aktywach bazowych).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BIZ mogą być wykorzystywane do celów inwestycji bezpośrednich.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Oczekuje się, że wykorzystanie BIZ w przypadku tej klasy udziałów będzie ograniczone.</w:t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sz w:val="1"/>
          <w:szCs w:val="1"/>
          <w:color w:val="auto"/>
        </w:rPr>
        <w:drawing xmlns:w="http://schemas.openxmlformats.org/wordprocessingml/2006/main">
          <wp:inline xmlns:wp="http://schemas.openxmlformats.org/drawingml/2006/wordprocessingDrawing" distT="0" distB="0" distL="0" distR="0">
            <wp:extent cx="45720" cy="774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Zalecenie: Fundusz ten jest odpowiedni dla inwestycji średnio- i długoterminowych, chociaż może być również odpowiedni dla krótkoterminowego zaangażowania w indeks.</w:t>
      </w:r>
    </w:p>
    <w:p>
      <w:pPr>
        <w:spacing w:after="0" w:line="60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Twoje akcje będą akumulowanymi udziałami (tzn. dochód zostanie uwzględniony w ich wartości).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-84455</wp:posOffset>
            </wp:positionV>
            <wp:extent cx="45720" cy="774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Twoje akcje będą denominowane w dolarach amerykańskich, walucie bazowej Funduszu.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-83820</wp:posOffset>
            </wp:positionV>
            <wp:extent cx="45720" cy="774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80" w:right="6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Akcje są notowane na jednej lub kilku giełdach i mogą być przedmiotem obrotu w walutach innych niż ich waluta bazowa.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Różnica kursów walut może mieć wpływ na wydajność Twoich akcji.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W normalnych okolicznościach wyłącznie uprawnieni uczestnicy (np. wybrane instytucje finansowe) mogą dokonywać transakcji na akcjach (lub udziałach w akcjach) bezpośrednio z Funduszem.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Inni inwestorzy mogą dokonywać codziennych transakcji na akcjach (lub udziałach w akcjach) poprzez pośrednika na giełdzie (giełdach), na której akcje są przedmiotem obrotu.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8890</wp:posOffset>
            </wp:positionH>
            <wp:positionV relativeFrom="paragraph">
              <wp:posOffset>-408305</wp:posOffset>
            </wp:positionV>
            <wp:extent cx="45720" cy="774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Więcej informacji na temat Funduszu, klasy akcji, ryzyka i opłat można znaleźć w prospekcie emisyjnym Funduszu dostępnym na stronach dotyczących produktów pod adresem www.blackrock.com</w:t>
      </w:r>
    </w:p>
    <w:p>
      <w:pPr>
        <w:spacing w:after="0" w:line="87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Profil ryzyka i zysku</w:t>
      </w:r>
    </w:p>
    <w:p>
      <w:pPr>
        <w:sectPr>
          <w:pgSz w:w="11900" w:h="16838" w:orient="portrait"/>
          <w:cols w:equalWidth="0" w:num="1">
            <w:col w:w="10600"/>
          </w:cols>
          <w:pgMar w:left="640" w:top="573" w:right="666" w:bottom="0" w:gutter="0" w:footer="0" w:header="0"/>
        </w:sectPr>
      </w:pPr>
    </w:p>
    <w:p>
      <w:pPr>
        <w:spacing w:after="0" w:line="111" w:lineRule="exact"/>
        <w:rPr>
          <w:sz w:val="24"/>
          <w:szCs w:val="24"/>
          <w:color w:val="auto"/>
        </w:rPr>
      </w:pPr>
    </w:p>
    <w:tbl>
      <w:tblPr>
        <w:tblLayout w:type="fixed"/>
        <w:tblInd w:w="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Niższe ryzyko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Wyższe ryzyko</w:t>
            </w:r>
          </w:p>
        </w:tc>
      </w:tr>
      <w:tr>
        <w:trPr>
          <w:trHeight w:val="207"/>
        </w:trPr>
        <w:tc>
          <w:tcPr>
            <w:tcW w:w="2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Zazwyczaj niższe nagrody</w:t>
            </w:r>
          </w:p>
        </w:tc>
        <w:tc>
          <w:tcPr>
            <w:tcW w:w="2620" w:type="dxa"/>
            <w:vAlign w:val="bottom"/>
            <w:shd w:val="clear" w:color="auto" w:fill="000000"/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4"/>
                <w:szCs w:val="14"/>
                <w:color w:val="FFFFFF"/>
              </w:rPr>
              <w:t xml:space="preserve">Zwykle wyższe nagrody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25400</wp:posOffset>
            </wp:positionH>
            <wp:positionV relativeFrom="paragraph">
              <wp:posOffset>12700</wp:posOffset>
            </wp:positionV>
            <wp:extent cx="3258185" cy="33464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85" cy="334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393065</wp:posOffset>
            </wp:positionV>
            <wp:extent cx="3329940" cy="952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-323215</wp:posOffset>
            </wp:positionV>
            <wp:extent cx="6767830" cy="9525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1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 w:right="10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Wskaźnik ten opiera się na danych historycznych i może nie być wiarygodnym wskaźnikiem przyszłego profilu ryzyka tej klasy akcji.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-260985</wp:posOffset>
            </wp:positionV>
            <wp:extent cx="45720" cy="774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Podana kategoria ryzyka nie jest gwarantowana i może się zmieniać w czasie.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-84455</wp:posOffset>
            </wp:positionV>
            <wp:extent cx="45720" cy="774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Najniższa kategoria nie oznacza braku ryzyka.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-83820</wp:posOffset>
            </wp:positionV>
            <wp:extent cx="45720" cy="7747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4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Klasa akcji jest oceniana jako trzecia ze względu na charakter jej inwestycji, które obejmują ryzyka wymienione poniżej.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Czynniki te mogą mieć wpływ na wartość klasy akcji lub narażać klasę akcji na straty.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-427355</wp:posOffset>
            </wp:positionV>
            <wp:extent cx="45720" cy="7747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spacing w:after="0" w:line="20" w:lineRule="exact"/>
        <w:rPr>
          <w:sz w:val="24"/>
          <w:szCs w:val="24"/>
          <w:color w:val="auto"/>
        </w:rPr>
      </w:pPr>
      <w:r>
        <w:rPr xmlns:w="http://schemas.openxmlformats.org/wordprocessingml/2006/main">
          <w:sz w:val="24"/>
          <w:szCs w:val="24"/>
          <w:color w:val="auto"/>
        </w:rPr>
        <w:br xmlns:w="http://schemas.openxmlformats.org/wordprocessingml/2006/main" w:type="column"/>
      </w:r>
    </w:p>
    <w:p>
      <w:pPr>
        <w:spacing w:after="0" w:line="10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60" w:hanging="159"/>
        <w:spacing w:after="0" w:line="228" w:lineRule="auto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33"/>
          <w:szCs w:val="33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Ryzyko kredytowe, zmiany stóp procentowych i/lub niewykonanie zobowiązania przez emitenta będą miały istotny wpływ na wyniki papierów wartościowych o stałym dochodzie.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Potencjalne lub rzeczywiste obniżenie ratingu kredytowego może zwiększyć poziom ryzyka.</w:t>
      </w:r>
    </w:p>
    <w:p>
      <w:pPr>
        <w:spacing w:after="0" w:line="1" w:lineRule="exact"/>
        <w:rPr>
          <w:rFonts w:ascii="Arial" w:cs="Arial" w:eastAsia="Arial" w:hAnsi="Arial"/>
          <w:sz w:val="33"/>
          <w:szCs w:val="33"/>
          <w:color w:val="auto"/>
          <w:vertAlign w:val="subscript"/>
        </w:rPr>
      </w:pPr>
    </w:p>
    <w:p>
      <w:pPr xmlns:w="http://schemas.openxmlformats.org/wordprocessingml/2006/main">
        <w:ind w:left="160" w:hanging="159"/>
        <w:spacing w:after="0" w:line="186" w:lineRule="auto"/>
        <w:tabs>
          <w:tab w:leader="none" w:pos="160" w:val="left"/>
        </w:tabs>
        <w:numPr>
          <w:ilvl w:val="0"/>
          <w:numId w:val="1"/>
        </w:numPr>
        <w:rPr>
          <w:rFonts w:ascii="Arial" w:cs="Arial" w:eastAsia="Arial" w:hAnsi="Arial"/>
          <w:sz w:val="26"/>
          <w:szCs w:val="26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3"/>
          <w:szCs w:val="13"/>
          <w:color w:val="auto"/>
        </w:rPr>
        <w:t xml:space="preserve">Papiery wartościowe zabezpieczone aktywami i papiery wartościowe zabezpieczone hipoteką podlegają</w:t>
      </w:r>
    </w:p>
    <w:p>
      <w:pPr>
        <w:spacing w:after="0" w:line="55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140"/>
        <w:spacing w:after="0" w:line="29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te same rodzaje ryzyka opisane dla papierów wartościowych o stałym dochodzie.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Instrumenty te mogą podlegać "ryzyku płynności", mieć wysoki poziom zadłużenia i mogą nie odzwierciedlać w pełni wartości aktywów zabezpieczających.</w:t>
      </w:r>
    </w:p>
    <w:p>
      <w:pPr>
        <w:spacing w:after="0" w:line="2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Poszczególne rodzaje ryzyka nieodpowiednio ujęte we wskaźniku ryzyka obejmują: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-102235</wp:posOffset>
            </wp:positionH>
            <wp:positionV relativeFrom="paragraph">
              <wp:posOffset>-84455</wp:posOffset>
            </wp:positionV>
            <wp:extent cx="45720" cy="7747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160" w:right="120" w:hanging="159"/>
        <w:spacing w:after="0" w:line="208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7"/>
          <w:szCs w:val="37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kontrahenta: Niewypłacalność instytucji świadczących usługi, takie jak przechowywanie aktywów lub działających jako kontrahent instrumentów pochodnych lub innych instrumentów, może narazić klasę akcji na straty finansowe.</w:t>
      </w:r>
    </w:p>
    <w:p>
      <w:pPr>
        <w:spacing w:after="0" w:line="28" w:lineRule="exact"/>
        <w:rPr>
          <w:rFonts w:ascii="Arial" w:cs="Arial" w:eastAsia="Arial" w:hAnsi="Arial"/>
          <w:sz w:val="37"/>
          <w:szCs w:val="37"/>
          <w:color w:val="auto"/>
          <w:vertAlign w:val="subscript"/>
        </w:rPr>
      </w:pPr>
    </w:p>
    <w:p>
      <w:pPr xmlns:w="http://schemas.openxmlformats.org/wordprocessingml/2006/main">
        <w:ind w:left="160" w:right="160" w:hanging="159"/>
        <w:spacing w:after="0" w:line="181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5"/>
          <w:szCs w:val="35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kredytowe: Emitent składnika aktywów finansowych utrzymywanego w ramach Funduszu nie może w terminie wpłacać dochodu ani spłacać kapitału na rzecz Funduszu.</w:t>
      </w:r>
    </w:p>
    <w:p>
      <w:pPr>
        <w:spacing w:after="0" w:line="30" w:lineRule="exact"/>
        <w:rPr>
          <w:rFonts w:ascii="Arial" w:cs="Arial" w:eastAsia="Arial" w:hAnsi="Arial"/>
          <w:sz w:val="35"/>
          <w:szCs w:val="35"/>
          <w:color w:val="auto"/>
          <w:vertAlign w:val="subscript"/>
        </w:rPr>
      </w:pPr>
    </w:p>
    <w:p>
      <w:pPr xmlns:w="http://schemas.openxmlformats.org/wordprocessingml/2006/main">
        <w:ind w:left="160" w:right="60" w:hanging="159"/>
        <w:spacing w:after="0" w:line="181" w:lineRule="auto"/>
        <w:tabs>
          <w:tab w:leader="none" w:pos="160" w:val="left"/>
        </w:tabs>
        <w:numPr>
          <w:ilvl w:val="0"/>
          <w:numId w:val="2"/>
        </w:numPr>
        <w:rPr>
          <w:rFonts w:ascii="Arial" w:cs="Arial" w:eastAsia="Arial" w:hAnsi="Arial"/>
          <w:sz w:val="35"/>
          <w:szCs w:val="35"/>
          <w:color w:val="auto"/>
          <w:vertAlign w:val="subscript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Ryzyko płynności: Niższa płynność oznacza, że nie ma wystarczającej liczby kupujących lub sprzedających, aby fundusz mógł łatwo sprzedawać lub kupować inwestycje.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11900" w:h="16838" w:orient="portrait"/>
          <w:cols w:equalWidth="0" w:num="2">
            <w:col w:w="5200" w:space="360"/>
            <w:col w:w="5040"/>
          </w:cols>
          <w:pgMar w:left="640" w:top="573" w:right="666" w:bottom="0" w:gutter="0" w:footer="0" w:header="0"/>
          <w:type w:val="continuous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6" w:lineRule="exact"/>
        <w:rPr>
          <w:sz w:val="24"/>
          <w:szCs w:val="24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Wskaźnik referencyjny stanowi własność intelektualną dostawcy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Klasa udziału nie jest sponsorowana ani wspierana przez dostawcę indeksu.</w:t>
      </w:r>
      <w:r>
        <w:rPr xmlns:w="http://schemas.openxmlformats.org/wordprocessingml/2006/main">
          <w:rFonts w:ascii="Arial" w:cs="Arial" w:eastAsia="Arial" w:hAnsi="Arial"/>
          <w:sz w:val="12"/>
          <w:szCs w:val="12"/>
          <w:color w:val="auto"/>
        </w:rPr>
        <w:t xml:space="preserve"> Pełne wyłączenie odpowiedzialności znajduje się w prospekcie emisyjnym Funduszu.</w:t>
      </w:r>
    </w:p>
    <w:p>
      <w:pPr>
        <w:sectPr>
          <w:pgSz w:w="11900" w:h="16838" w:orient="portrait"/>
          <w:cols w:equalWidth="0" w:num="1">
            <w:col w:w="10600"/>
          </w:cols>
          <w:pgMar w:left="640" w:top="573" w:right="666" w:bottom="0" w:gutter="0" w:footer="0" w:header="0"/>
          <w:type w:val="continuous"/>
        </w:sectPr>
      </w:pPr>
    </w:p>
    <w:bookmarkStart w:id="1" w:name="page2"/>
    <w:bookmarkEnd w:id="1"/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Opłaty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</w:sectPr>
      </w:pPr>
    </w:p>
    <w:p>
      <w:pPr>
        <w:spacing w:after="0" w:line="16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60"/>
        <w:spacing w:after="0" w:line="314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Opłaty te są przeznaczone na pokrycie kosztów prowadzenia Klasy Akcji, w tym kosztów jej marketingu i dystrybucji.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Opłaty te zmniejszają potencjalny wzrost Państwa inwestycji.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240"/>
        <w:spacing w:after="0" w:line="311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Nie dotyczy inwestorów rynku wtórnego.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Inwestorzy giełdowi będą ponosić opłaty pobierane przez swoich maklerów giełdowych.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Takie opłaty są publicznie dostępne na giełdach, na których akcje są notowane i znajdują się w obrocie, lub można je uzyskać od maklerów giełdowych.</w:t>
      </w:r>
    </w:p>
    <w:p>
      <w:pPr>
        <w:spacing w:after="0" w:line="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 w:right="140"/>
        <w:spacing w:after="0" w:line="31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* Upoważnieni uczestnicy mający bezpośredni kontakt z Funduszem będą ponosić związane z tym koszty transakcyjne, w tym - w przypadku umorzeń - wszelkie mające zastosowanie podatki od zysków kapitałowych (CGT) i inne podatki od bazowych papierów wartościowych.</w:t>
      </w:r>
    </w:p>
    <w:p>
      <w:pPr>
        <w:spacing w:after="0" w:line="30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 w:line="337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Kwota opłat bieżących opiera się na stałej rocznej opłacie pobieranej od klasy akcji zgodnie z prospektem emisyjnym Funduszu.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Kwota ta nie obejmuje kosztów związanych z handlem portfelem, z wyjątkiem kosztów poniesionych na rzecz depozytariusza oraz wszelkich opłat za wejście/wyjście uiszczonych na rzecz bazowego systemu zbiorowego inwestowania (jeżeli takie istnieją).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14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jc w:val="both"/>
        <w:ind w:left="20" w:right="40" w:hanging="6"/>
        <w:spacing w:after="0" w:line="333" w:lineRule="auto"/>
        <w:tabs>
          <w:tab w:leader="none" w:pos="239" w:val="left"/>
        </w:tabs>
        <w:numPr>
          <w:ilvl w:val="0"/>
          <w:numId w:val="3"/>
        </w:numPr>
        <w:rPr>
          <w:rFonts w:ascii="Arial" w:cs="Arial" w:eastAsia="Arial" w:hAnsi="Arial"/>
          <w:sz w:val="15"/>
          <w:szCs w:val="15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 zakresie, w jakim Fundusz udziela pożyczek papierów wartościowych w celu obniżenia kosztów, Fundusz otrzyma 62.5 % związanych z tym przychodów, a pozostałe 37.5 % zostanie otrzymane przez BlackRock jako podmiot udzielający pożyczek papierów wartościowych.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Ponieważ podział przychodów z pożyczek papierów wartościowych nie zwiększa kosztów funkcjonowania Funduszu, nie jest on uwzględniany w bieżących opłatach.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3175</wp:posOffset>
            </wp:positionV>
            <wp:extent cx="3208020" cy="17272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7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Jednorazowe opłaty pobierane przed lub po dokonaniu inwestycji</w:t>
      </w:r>
    </w:p>
    <w:p>
      <w:pPr>
        <w:spacing w:after="0" w:line="54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Wejściowa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243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wyjście</w:t>
            </w:r>
          </w:p>
        </w:tc>
        <w:tc>
          <w:tcPr>
            <w:tcW w:w="15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ind w:left="10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  <w:w w:val="98"/>
              </w:rPr>
              <w:t xml:space="preserve">Brak*</w:t>
            </w:r>
          </w:p>
        </w:tc>
      </w:tr>
      <w:tr>
        <w:trPr>
          <w:trHeight w:val="41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-201930</wp:posOffset>
            </wp:positionV>
            <wp:extent cx="2245995" cy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99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-394335</wp:posOffset>
            </wp:positionV>
            <wp:extent cx="3199130" cy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14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00" w:right="240"/>
        <w:spacing w:after="0" w:line="340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Jest to maksymalna kwota, która może zostać pobrana z Twoich pieniędzy przed dokonaniem inwestycji lub przed wypłaceniem wpływów z Twoich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-17145</wp:posOffset>
            </wp:positionV>
            <wp:extent cx="3208020" cy="18351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183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FFFFFF"/>
        </w:rPr>
        <w:t xml:space="preserve">Opłaty pobierane z klasy akcji w ciągu każdego roku</w:t>
      </w:r>
    </w:p>
    <w:p>
      <w:pPr>
        <w:spacing w:after="0" w:line="71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34"/>
        </w:trPr>
        <w:tc>
          <w:tcPr>
            <w:tcW w:w="3540" w:type="dxa"/>
            <w:vAlign w:val="bottom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Opłaty Bieżące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0.25%**</w:t>
            </w:r>
          </w:p>
        </w:tc>
      </w:tr>
      <w:tr>
        <w:trPr>
          <w:trHeight w:val="24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264"/>
        </w:trPr>
        <w:tc>
          <w:tcPr>
            <w:tcW w:w="4240" w:type="dxa"/>
            <w:vAlign w:val="bottom"/>
            <w:tcBorders>
              <w:bottom w:val="single" w:sz="8" w:color="auto"/>
            </w:tcBorders>
            <w:gridSpan w:val="2"/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  <w:w w:val="96"/>
              </w:rPr>
              <w:t xml:space="preserve">Opłaty pobrane z klasy akcji pod pewnymi warunkami</w:t>
            </w: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  <w:shd w:val="clear" w:color="auto" w:fill="000000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</w:tr>
      <w:tr>
        <w:trPr>
          <w:trHeight w:val="242"/>
        </w:trPr>
        <w:tc>
          <w:tcPr>
            <w:tcW w:w="3540" w:type="dxa"/>
            <w:vAlign w:val="bottom"/>
            <w:tcBorders>
              <w:bottom w:val="single" w:sz="8" w:color="auto"/>
            </w:tcBorders>
            <w:shd w:val="clear" w:color="auto" w:fill="000000"/>
          </w:tcPr>
          <w:p>
            <w:pPr xmlns:w="http://schemas.openxmlformats.org/wordprocessingml/2006/main">
              <w:ind w:left="6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FFFFFF"/>
              </w:rPr>
              <w:t xml:space="preserve">Opłata za wydajność</w:t>
            </w:r>
          </w:p>
        </w:tc>
        <w:tc>
          <w:tcPr>
            <w:tcW w:w="7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1"/>
                <w:szCs w:val="21"/>
                <w:color w:val="auto"/>
              </w:rPr>
            </w:pPr>
          </w:p>
        </w:tc>
        <w:tc>
          <w:tcPr>
            <w:tcW w:w="8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 xmlns:w="http://schemas.openxmlformats.org/wordprocessingml/2006/main"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Brak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-358775</wp:posOffset>
            </wp:positionV>
            <wp:extent cx="3199130" cy="952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-165735</wp:posOffset>
            </wp:positionV>
            <wp:extent cx="3199130" cy="9525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5715</wp:posOffset>
            </wp:positionH>
            <wp:positionV relativeFrom="paragraph">
              <wp:posOffset>-522605</wp:posOffset>
            </wp:positionV>
            <wp:extent cx="3199130" cy="952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91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5340" w:space="260"/>
            <w:col w:w="5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2"/>
          <w:szCs w:val="22"/>
          <w:color w:val="auto"/>
        </w:rPr>
        <w:t xml:space="preserve">Dotychczasowa wydajność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52070</wp:posOffset>
            </wp:positionV>
            <wp:extent cx="6767830" cy="9525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00" w:h="16838" w:orient="portrait"/>
          <w:cols w:equalWidth="0" w:num="1">
            <w:col w:w="10660"/>
          </w:cols>
          <w:pgMar w:left="620" w:top="609" w:right="626" w:bottom="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7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Dotychczasowa wydajność nie jest wskazówką dla przyszłej wydajności.</w:t>
      </w:r>
    </w:p>
    <w:p>
      <w:pPr>
        <w:spacing w:after="0" w:line="1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spacing w:after="0" w:line="328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Wykres pokazuje roczną wydajność klasy akcji w USD dla każdego pełnego roku kalendarzowego w okresie wyświetlanym na wykresie.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Jest ona wyrażona jako procentowa zmiana wartości aktywów netto klasy akcji na koniec każdego roku.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Fundusz został uruchomiony w 2011 r.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 2017 r. uruchomiono klasę Share.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Wyniki są wykazywane po odjęciu bieżących opłat.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Wszelkie opłaty za wjazd/wyjazd są wyłączone z obliczeń.</w:t>
      </w:r>
    </w:p>
    <w:p>
      <w:pPr>
        <w:spacing w:after="0" w:line="6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300" w:firstLine="8"/>
        <w:spacing w:after="0" w:line="328" w:lineRule="auto"/>
        <w:tabs>
          <w:tab w:leader="none" w:pos="120" w:val="left"/>
        </w:tabs>
        <w:numPr>
          <w:ilvl w:val="0"/>
          <w:numId w:val="4"/>
        </w:numPr>
        <w:rPr>
          <w:rFonts w:ascii="Arial" w:cs="Arial" w:eastAsia="Arial" w:hAnsi="Arial"/>
          <w:sz w:val="16"/>
          <w:szCs w:val="16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Wskaźnik referencyjny: Bloomberg Barclays US Aggregate Bond Index (USD)</w:t>
      </w:r>
    </w:p>
    <w:p>
      <w:pPr xmlns:w="http://schemas.openxmlformats.org/wordprocessingml/2006/main">
        <w:spacing w:after="0" w:line="20" w:lineRule="exact"/>
        <w:rPr>
          <w:sz w:val="20"/>
          <w:szCs w:val="20"/>
          <w:color w:val="auto"/>
        </w:rPr>
      </w:pPr>
      <w:r>
        <w:rPr xmlns:w="http://schemas.openxmlformats.org/wordprocessingml/2006/main">
          <w:sz w:val="20"/>
          <w:szCs w:val="20"/>
          <w:color w:val="auto"/>
        </w:rPr>
        <w:br xmlns:w="http://schemas.openxmlformats.org/wordprocessingml/2006/main" w:type="column"/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2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Historyczne wykonanie do 31 grudnia 2022 roku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487680</wp:posOffset>
            </wp:positionH>
            <wp:positionV relativeFrom="paragraph">
              <wp:posOffset>20955</wp:posOffset>
            </wp:positionV>
            <wp:extent cx="3977640" cy="155448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3" w:lineRule="exact"/>
        <w:rPr>
          <w:sz w:val="20"/>
          <w:szCs w:val="20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28"/>
        </w:trPr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>
              <w:spacing w:after="0"/>
              <w:rPr>
                <w:sz w:val="19"/>
                <w:szCs w:val="19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2018</w:t>
            </w: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2019</w:t>
            </w: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2020</w:t>
            </w: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2021</w:t>
            </w:r>
          </w:p>
        </w:tc>
        <w:tc>
          <w:tcPr>
            <w:tcW w:w="1160" w:type="dxa"/>
            <w:vAlign w:val="bottom"/>
            <w:tcBorders>
              <w:bottom w:val="single" w:sz="8" w:color="808080"/>
            </w:tcBorders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2022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3"/>
        </w:trPr>
        <w:tc>
          <w:tcPr>
            <w:tcW w:w="140" w:type="dxa"/>
            <w:vAlign w:val="bottom"/>
            <w:shd w:val="clear" w:color="auto" w:fill="FF4713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Fundusz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- 0,3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8,4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7,2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- 1,9</w:t>
            </w:r>
          </w:p>
        </w:tc>
        <w:tc>
          <w:tcPr>
            <w:tcW w:w="11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- 13,2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3"/>
        </w:trPr>
        <w:tc>
          <w:tcPr>
            <w:tcW w:w="140" w:type="dxa"/>
            <w:vAlign w:val="bottom"/>
            <w:tcBorders>
              <w:bottom w:val="single" w:sz="8" w:color="808080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bottom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0"/>
        </w:trPr>
        <w:tc>
          <w:tcPr>
            <w:tcW w:w="14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† wskaźnika referencyjnego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0,0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8,7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7,5</w:t>
            </w: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restart"/>
          </w:tcPr>
          <w:p>
            <w:pPr xmlns:w="http://schemas.openxmlformats.org/wordprocessingml/2006/main"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- 1,5</w:t>
            </w:r>
          </w:p>
        </w:tc>
        <w:tc>
          <w:tcPr>
            <w:tcW w:w="1160" w:type="dxa"/>
            <w:vAlign w:val="bottom"/>
            <w:vMerge w:val="restart"/>
          </w:tcPr>
          <w:p>
            <w:pPr xmlns:w="http://schemas.openxmlformats.org/wordprocessingml/2006/main"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 xmlns:w="http://schemas.openxmlformats.org/wordprocessingml/2006/main">
                <w:rFonts w:ascii="Arial" w:cs="Arial" w:eastAsia="Arial" w:hAnsi="Arial"/>
                <w:sz w:val="16"/>
                <w:szCs w:val="16"/>
                <w:color w:val="auto"/>
              </w:rPr>
              <w:t xml:space="preserve">- 13,0</w:t>
            </w:r>
          </w:p>
        </w:tc>
        <w:tc>
          <w:tcPr>
            <w:tcW w:w="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44"/>
        </w:trPr>
        <w:tc>
          <w:tcPr>
            <w:tcW w:w="140" w:type="dxa"/>
            <w:vAlign w:val="bottom"/>
            <w:shd w:val="clear" w:color="auto" w:fill="FFCE00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12"/>
                <w:szCs w:val="1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8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tcBorders>
              <w:right w:val="single" w:sz="8" w:color="808080"/>
            </w:tcBorders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160" w:type="dxa"/>
            <w:vAlign w:val="bottom"/>
            <w:vMerge w:val="continue"/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4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320" w:space="280"/>
            <w:col w:w="7060"/>
          </w:cols>
          <w:pgMar w:left="620" w:top="609" w:right="626" w:bottom="0" w:gutter="0" w:footer="0" w:header="0"/>
          <w:type w:val="continuous"/>
        </w:sectPr>
      </w:pPr>
    </w:p>
    <w:p>
      <w:pPr xmlns:w="http://schemas.openxmlformats.org/wordprocessingml/2006/main">
        <w:ind w:left="4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26"/>
          <w:szCs w:val="26"/>
          <w:color w:val="auto"/>
        </w:rPr>
        <w:t xml:space="preserve">Informacje praktyczne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22860</wp:posOffset>
            </wp:positionV>
            <wp:extent cx="6767830" cy="952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7830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46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Depozytariuszem funduszu jest State Street Custodial Services (Ireland) Limited.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16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Więcej informacji na temat Funduszu i klasy akcji można uzyskać z najnowszego raportu rocznego i półrocznych raportów iShares II plc.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Dokumenty te są dostępne bezpłatnie w języku angielskim i niektórych innych językach.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Można je znaleźć, wraz z innymi informacjami, takimi jak szczegóły dotyczące kluczowych inwestycji bazowych klasy akcji i cen akcji, na stronie internetowej iShares pod adresem www.ishares.com lub pod numerem telefonu +44 (0)845 357 7000 lub od brokera lub doradcy finansowego.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Inwestorzy powinni mieć na uwadze, że przepisy podatkowe mające zastosowanie do funduszu i klasy akcji mogą mieć wpływ na indywidualną sytuację podatkową inwestycji.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-537210</wp:posOffset>
            </wp:positionV>
            <wp:extent cx="45720" cy="7747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-95250</wp:posOffset>
            </wp:positionV>
            <wp:extent cx="45720" cy="7747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280"/>
        <w:spacing w:after="0" w:line="34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jest subfunduszem iShares II plc, struktury parasolowej obejmującej różne subfundusze.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Fundusz posiada jedną lub więcej klas akcji.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Niniejszy dokument odnosi się do kategorii funduszy i akcji podanej na początku niniejszego dokumentu.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Jednakże prospekt emisyjny, sprawozdania roczne i półroczne są przygotowywane dla parasola.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4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iShares II plc może zostać pociągnięta do odpowiedzialności wyłącznie na podstawie jakiegokolwiek oświadczenia zawartego w niniejszym dokumencie, które wprowadza w błąd, jest niedokładne lub niezgodne z odpowiednimi częściami prospektu emisyjnego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/>
        <w:spacing w:after="0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Orientacyjna śróddzienna wartość aktywów netto klasy akcji jest dostępna pod adresem http://deutsche-boerse.com lub http://www.reuters.com.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-66040</wp:posOffset>
            </wp:positionV>
            <wp:extent cx="45720" cy="7747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8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left="160" w:right="40"/>
        <w:spacing w:after="0" w:line="32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Zgodnie z prawem irlandzkim iShares II plc wydziela odpowiedzialność pomiędzy subfundusze (tj. aktywa Funduszu nie będą wykorzystywane do wywiązywania się z zobowiązań innych subfunduszy w ramach iShares II plc).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Ponadto aktywa Funduszu utrzymywane są odrębnie od aktywów innych subfunduszy.</w:t>
      </w: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 Aktywa i zobowiązania specyficzne dla danej klasy akcji można by przypisać tylko do tej klasy akcji, jednak zgodnie z prawem irlandzkim nie ma rozdzielenia zobowiązań między kategorie akcji.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-389890</wp:posOffset>
            </wp:positionV>
            <wp:extent cx="45720" cy="7747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80"/>
        <w:spacing w:after="0" w:line="302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Zamiana akcji pomiędzy Funduszem a innymi subfunduszami w ramach iShares II plc nie jest dostępna dla inwestorów.</w:t>
      </w:r>
      <w:r>
        <w:rPr xmlns:w="http://schemas.openxmlformats.org/wordprocessingml/2006/main">
          <w:rFonts w:ascii="Arial" w:cs="Arial" w:eastAsia="Arial" w:hAnsi="Arial"/>
          <w:sz w:val="16"/>
          <w:szCs w:val="16"/>
          <w:color w:val="auto"/>
        </w:rPr>
        <w:t xml:space="preserve"> Tylko upoważnieni uczestnicy mający bezpośredni kontakt z Funduszem mogą przechodzić z jednej klasy akcji Funduszu do drugiej, pod warunkiem spełnienia określonych warunków zawartych w prospekcie emisyjnym Funduszu.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-243205</wp:posOffset>
            </wp:positionV>
            <wp:extent cx="45720" cy="7747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 xmlns:w="http://schemas.openxmlformats.org/wordprocessingml/2006/main">
        <w:ind w:left="160" w:right="100"/>
        <w:spacing w:after="0" w:line="366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5"/>
          <w:szCs w:val="15"/>
          <w:color w:val="auto"/>
        </w:rPr>
        <w:t xml:space="preserve">Polityka wynagradzania Spółki, która opisuje sposób ustalania i przyznawania wynagrodzeń i świadczeń oraz związane z tym ustalenia dotyczące ładu korporacyjnego, dostępna jest na stronie internetowej www.blackrock.com/Remunerationpolicy lub na wniosek siedziby Spółki.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5673090</wp:posOffset>
            </wp:positionH>
            <wp:positionV relativeFrom="paragraph">
              <wp:posOffset>1846580</wp:posOffset>
            </wp:positionV>
            <wp:extent cx="1097280" cy="45720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2540</wp:posOffset>
            </wp:positionH>
            <wp:positionV relativeFrom="paragraph">
              <wp:posOffset>-283210</wp:posOffset>
            </wp:positionV>
            <wp:extent cx="45720" cy="7747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2" w:lineRule="exact"/>
        <w:rPr>
          <w:sz w:val="20"/>
          <w:szCs w:val="20"/>
          <w:color w:val="auto"/>
        </w:rPr>
      </w:pPr>
    </w:p>
    <w:p>
      <w:pPr xmlns:w="http://schemas.openxmlformats.org/wordprocessingml/2006/main">
        <w:ind w:right="2740"/>
        <w:spacing w:after="0" w:line="325" w:lineRule="auto"/>
        <w:rPr>
          <w:sz w:val="20"/>
          <w:szCs w:val="20"/>
          <w:color w:val="auto"/>
        </w:rPr>
      </w:pP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Fundusz ten oraz zarządzający nim BlackRock Asset Management Ireland Limited posiadają zezwolenie w Irlandii i są regulowane przez Central Bank of Ireland.</w:t>
      </w:r>
      <w:r>
        <w:rPr xmlns:w="http://schemas.openxmlformats.org/wordprocessingml/2006/main">
          <w:rFonts w:ascii="Arial" w:cs="Arial" w:eastAsia="Arial" w:hAnsi="Arial"/>
          <w:sz w:val="14"/>
          <w:szCs w:val="14"/>
          <w:color w:val="auto"/>
        </w:rPr>
        <w:t xml:space="preserve"> Niniejsze Kluczowe Informacje dla Inwestorów są aktualne na dzień 26 stycznia 2023 roku</w:t>
      </w:r>
    </w:p>
    <w:sectPr>
      <w:pgSz w:w="11900" w:h="16838" w:orient="portrait"/>
      <w:cols w:equalWidth="0" w:num="1">
        <w:col w:w="10660"/>
      </w:cols>
      <w:pgMar w:left="620" w:top="609" w:right="626" w:bottom="0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492A81C5"/>
    <w:multiLevelType w:val="hybridMultilevel"/>
    <w:lvl w:ilvl="0">
      <w:lvlJc w:val="left"/>
      <w:lvlText w:val="-"/>
      <w:numFmt w:val="bullet"/>
      <w:start w:val="1"/>
    </w:lvl>
  </w:abstractNum>
  <w:abstractNum w:abstractNumId="1">
    <w:nsid w:val="23A81D99"/>
    <w:multiLevelType w:val="hybridMultilevel"/>
    <w:lvl w:ilvl="0">
      <w:lvlJc w:val="left"/>
      <w:lvlText w:val="-"/>
      <w:numFmt w:val="bullet"/>
      <w:start w:val="1"/>
    </w:lvl>
  </w:abstractNum>
  <w:abstractNum w:abstractNumId="2">
    <w:nsid w:val="1F0D5699"/>
    <w:multiLevelType w:val="hybridMultilevel"/>
    <w:lvl w:ilvl="0">
      <w:lvlJc w:val="left"/>
      <w:lvlText w:val="**"/>
      <w:numFmt w:val="bullet"/>
      <w:start w:val="1"/>
    </w:lvl>
  </w:abstractNum>
  <w:abstractNum w:abstractNumId="3">
    <w:nsid w:val="716CFA41"/>
    <w:multiLevelType w:val="hybridMultilevel"/>
    <w:lvl w:ilvl="0">
      <w:lvlJc w:val="left"/>
      <w:lvlText w:val="†"/>
      <w:numFmt w:val="bullet"/>
      <w:start w:val="1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1" Type="http://schemas.openxmlformats.org/officeDocument/2006/relationships/numbering" Target="numbering.xml"/><Relationship Id="rId12" Type="http://schemas.openxmlformats.org/officeDocument/2006/relationships/image" Target="media/image1.jpe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jpe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image" Target="media/image16.png"/><Relationship Id="rId28" Type="http://schemas.openxmlformats.org/officeDocument/2006/relationships/image" Target="media/image17.png"/><Relationship Id="rId29" Type="http://schemas.openxmlformats.org/officeDocument/2006/relationships/image" Target="media/image18.png"/><Relationship Id="rId30" Type="http://schemas.openxmlformats.org/officeDocument/2006/relationships/image" Target="media/image19.png"/><Relationship Id="rId31" Type="http://schemas.openxmlformats.org/officeDocument/2006/relationships/image" Target="media/image20.png"/><Relationship Id="rId32" Type="http://schemas.openxmlformats.org/officeDocument/2006/relationships/image" Target="media/image21.png"/><Relationship Id="rId33" Type="http://schemas.openxmlformats.org/officeDocument/2006/relationships/image" Target="media/image22.png"/><Relationship Id="rId34" Type="http://schemas.openxmlformats.org/officeDocument/2006/relationships/image" Target="media/image23.png"/><Relationship Id="rId35" Type="http://schemas.openxmlformats.org/officeDocument/2006/relationships/image" Target="media/image24.png"/><Relationship Id="rId36" Type="http://schemas.openxmlformats.org/officeDocument/2006/relationships/image" Target="media/image25.png"/><Relationship Id="rId37" Type="http://schemas.openxmlformats.org/officeDocument/2006/relationships/image" Target="media/image26.png"/><Relationship Id="rId38" Type="http://schemas.openxmlformats.org/officeDocument/2006/relationships/image" Target="media/image27.png"/><Relationship Id="rId39" Type="http://schemas.openxmlformats.org/officeDocument/2006/relationships/image" Target="media/image28.png"/><Relationship Id="rId40" Type="http://schemas.openxmlformats.org/officeDocument/2006/relationships/image" Target="media/image29.jpeg"/><Relationship Id="rId41" Type="http://schemas.openxmlformats.org/officeDocument/2006/relationships/image" Target="media/image30.png"/><Relationship Id="rId42" Type="http://schemas.openxmlformats.org/officeDocument/2006/relationships/image" Target="media/image31.png"/><Relationship Id="rId43" Type="http://schemas.openxmlformats.org/officeDocument/2006/relationships/image" Target="media/image32.png"/><Relationship Id="rId44" Type="http://schemas.openxmlformats.org/officeDocument/2006/relationships/image" Target="media/image33.png"/><Relationship Id="rId45" Type="http://schemas.openxmlformats.org/officeDocument/2006/relationships/image" Target="media/image34.png"/><Relationship Id="rId46" Type="http://schemas.openxmlformats.org/officeDocument/2006/relationships/image" Target="media/image35.png"/><Relationship Id="rId47" Type="http://schemas.openxmlformats.org/officeDocument/2006/relationships/image" Target="media/image36.png"/><Relationship Id="rId48" Type="http://schemas.openxmlformats.org/officeDocument/2006/relationships/image" Target="media/image37.png"/><Relationship Id="rId49" Type="http://schemas.openxmlformats.org/officeDocument/2006/relationships/image" Target="media/image38.png"/><Relationship Id="rId50" Type="http://schemas.openxmlformats.org/officeDocument/2006/relationships/image" Target="media/image39.jpeg"/><Relationship Id="rId51" Type="http://schemas.openxmlformats.org/officeDocument/2006/relationships/image" Target="media/image40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2024-05-21T08:59:45Z</dcterms:created>
  <dcterms:modified xsi:type="dcterms:W3CDTF">2024-05-21T08:59:45Z</dcterms:modified>
</cp:coreProperties>
</file>