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534670</wp:posOffset>
                </wp:positionH>
                <wp:positionV relativeFrom="page">
                  <wp:posOffset>417830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2.1pt;margin-top:32.9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582295</wp:posOffset>
                </wp:positionH>
                <wp:positionV relativeFrom="page">
                  <wp:posOffset>417830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45.85pt;margin-top:32.9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916940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72.2pt" to="568.4pt,72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1791970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141.1pt" to="568.4pt,141.1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3006725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236.75pt" to="568.4pt,236.7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3865880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04.4pt" to="568.4pt,304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38200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692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38200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382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692.4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Standaryzowane Opcje Walutowe (Krótka Sprzedaż)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8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Amerykańskie Standardowe Opcje Walutowe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udostępnia niniejszy dokument na podstawie Rozporządzenia UE nr 1286/2014 dla standardowych opcji walutowych ("FX") (a/k/a "notowane opcje").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notowane i znajdują się w obrocie na giełdach opcji amerykańskich zarejestrowanych w amerykańskiej Komisji Papierów Wartościowych i Giełd ("SEC") i są emitowane, rozliczane i rozliczane przez OCC, agencję rozliczeniową zarejestrowaną w SEC.</w:t>
      </w:r>
    </w:p>
    <w:p>
      <w:pPr>
        <w:spacing w:after="0" w:line="7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Więcej informacji, w tym dane kontaktowe amerykańskich giełd opcji,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7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opcjami walutowymi standardowymi, dopóki nie przeczytają i nie zrozumieją tego dokumentu i związanego z nim dokumentu ujawniającego ryzyko,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opcje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20955</wp:posOffset>
                </wp:positionV>
                <wp:extent cx="6676390" cy="491807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491807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8499pt;margin-top:1.65pt;width:525.7pt;height:387.2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12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Wystandaryzowana opcja walutowa to prawo do kupna lub sprzedaży jednej waluty ("waluta bazowa") po ustalonej cenie ("cena wykonania") denominowanej w innej walucie ("waluta obrotu"), stanowiącej "kurs wymiany" pomiędzy walutami, poprzez skorzystanie z opcji przed wygaśnięciem.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walutę bazową jest zatem pośrednia, ponieważ wartość opcji jest ustalana na podstawie wartości waluty bazowej.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Daty ważności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emitenta waluty obcej może skutkować zmianą warunków opcji zgodnie z regułami OCC, które mogą różnić się od metodologii stosowanej na rynkach europejskich.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wykonania opcji - do wykonania opcji zgodnie z warunkami kupna lub sprzedaży waluty bazowej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wykonana tylko w określonym okresie przed wygaśnięciem (data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Standaryzowane opcje walutowe są z reguły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fizycznego dostarczenia (sprzedaży) instrumentu bazowego w momencie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rozliczeniach pieniężnych posiadacz ma prawo do otrzymania płatności gotówkowej, jeżeli ustalona wartość instrumentu bazowego w momencie wykonania przekracza (wezwanie) lub jest niższa od (opcja sprzedaży)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waluty bazowej i handlowej oraz ich podatność na wahania cen (zmienność).</w:t>
      </w:r>
    </w:p>
    <w:p>
      <w:pPr>
        <w:spacing w:after="0" w:line="4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17780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4pt" to="521.4pt,1.4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00"/>
          </w:cols>
          <w:pgMar w:left="940" w:top="627" w:right="1000" w:bottom="144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923036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230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59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923036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23036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59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1062990</wp:posOffset>
            </wp:positionH>
            <wp:positionV relativeFrom="paragraph">
              <wp:posOffset>15875</wp:posOffset>
            </wp:positionV>
            <wp:extent cx="4906010" cy="179959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6010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dla posiadaczy i emitentów zależy od warunków opcji, ale może obejmować:</w:t>
      </w:r>
    </w:p>
    <w:p>
      <w:pPr>
        <w:spacing w:after="0" w:line="7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" w:hanging="214"/>
        <w:spacing w:after="0" w:line="225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Od podmiotu wystawiającego opcje można wymagać, aby spełnił obowiązek zakupu lub sprzedaży udziałów bazowych w każdym czasie, w którym opcja jest wykonalna ze względu na jej styl.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Jednostka zapisująca opcje kupna, która nie jest właścicielem waluty bazowej (wezwanie niepokryte), ponosi ryzyko potencjalnie nieograniczonej straty.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Moduł zapisujący opcje sprzedaży może stracić różnicę między ceną wykonania a zerem.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Podmioty zapisujące niepokryte wezwania i wystawiające depozyt zabezpieczający (opisany poniżej) u swojego brokera, co stwarza dodatkowe ryzyko.</w:t>
      </w:r>
    </w:p>
    <w:p>
      <w:pPr>
        <w:spacing w:after="0" w:line="83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20" w:hanging="214"/>
        <w:spacing w:after="0" w:line="217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wartościami udziałów bazowych lub powiązanych.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660" w:hanging="214"/>
        <w:spacing w:after="0" w:line="20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waluta bazowa wykonanej opcji, która jest fizycznie rozliczana, jest niedostępna, zasady rozliczania metodą otwartą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2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hanging="214"/>
        <w:spacing w:after="0" w:line="218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Złożone czynniki mogą mieć wpływ na wartość waluty bazowej i handlowej</w:t>
      </w:r>
    </w:p>
    <w:p>
      <w:pPr>
        <w:spacing w:after="0" w:line="7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right="140"/>
        <w:spacing w:after="0" w:line="21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czynników politycznych i gospodarczych.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Dodatkowo płatności gotówkowe będą rozliczane w dolarach amerykańskich, a więc wyniki inwestycji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może mieć wpływ na wartość transakcji i pozycję opcyjną.)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16510</wp:posOffset>
                </wp:positionV>
                <wp:extent cx="6545580" cy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1.3pt" to="515.65pt,1.3pt" o:allowincell="f" strokecolor="#000000" strokeweight="0.48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13335</wp:posOffset>
                </wp:positionV>
                <wp:extent cx="0" cy="2212975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12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5pt,1.05pt" to="0.5pt,175.3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4147185</wp:posOffset>
                </wp:positionH>
                <wp:positionV relativeFrom="paragraph">
                  <wp:posOffset>13335</wp:posOffset>
                </wp:positionV>
                <wp:extent cx="0" cy="2212975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12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6.55pt,1.05pt" to="326.55pt,175.3pt" o:allowincell="f" strokecolor="#000000" strokeweight="0.4799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6545580</wp:posOffset>
                </wp:positionH>
                <wp:positionV relativeFrom="paragraph">
                  <wp:posOffset>13335</wp:posOffset>
                </wp:positionV>
                <wp:extent cx="0" cy="221297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3" cy="22129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15.4pt,1.05pt" to="515.4pt,175.3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634" w:right="980" w:bottom="128" w:gutter="0" w:footer="0" w:header="0"/>
        </w:sectPr>
      </w:pPr>
    </w:p>
    <w:p>
      <w:pPr>
        <w:spacing w:after="0" w:line="16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3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P/L z napisania oferty walutowej (Premium $400*; Cena ćwiczenia 1.30)</w:t>
      </w:r>
    </w:p>
    <w:p>
      <w:pPr>
        <w:spacing w:after="0" w:line="130" w:lineRule="exact"/>
        <w:rPr>
          <w:sz w:val="20"/>
          <w:szCs w:val="20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* P/L</w:t>
            </w:r>
          </w:p>
        </w:tc>
        <w:tc>
          <w:tcPr>
            <w:tcW w:w="4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6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-200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9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-400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707390</wp:posOffset>
            </wp:positionH>
            <wp:positionV relativeFrom="paragraph">
              <wp:posOffset>-880745</wp:posOffset>
            </wp:positionV>
            <wp:extent cx="3136900" cy="83375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900" cy="833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jc w:val="right"/>
        <w:spacing w:after="0"/>
        <w:tabs>
          <w:tab w:leader="none" w:pos="4400" w:val="left"/>
          <w:tab w:leader="none" w:pos="3580" w:val="left"/>
          <w:tab w:leader="none" w:pos="2760" w:val="left"/>
          <w:tab w:leader="none" w:pos="1940" w:val="left"/>
          <w:tab w:leader="none" w:pos="1120" w:val="left"/>
          <w:tab w:leader="none" w:pos="300" w:val="left"/>
        </w:tabs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1,22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1,24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1,26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1,28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1,30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1,32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8"/>
          <w:szCs w:val="18"/>
          <w:color w:val="595959"/>
        </w:rPr>
        <w:t xml:space="preserve">1,34</w:t>
      </w:r>
    </w:p>
    <w:p>
      <w:pPr>
        <w:spacing w:after="0" w:line="7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EUR/USD (instrument bazowy</w:t>
      </w:r>
      <w:r>
        <w:rPr xmlns:w="http://schemas.openxmlformats.org/wordprocessingml/2006/main">
          <w:rFonts w:ascii="Calibri" w:cs="Calibri" w:eastAsia="Calibri" w:hAnsi="Calibri"/>
          <w:sz w:val="19"/>
          <w:szCs w:val="19"/>
          <w:color w:val="595959"/>
        </w:rPr>
        <w:t xml:space="preserve">)</w:t>
      </w:r>
    </w:p>
    <w:p>
      <w:pPr>
        <w:spacing w:after="0" w:line="26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* Jak przedstawiono, składka i wartość p/l zakładają wielkość kontraktu 10 000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318770</wp:posOffset>
                </wp:positionV>
                <wp:extent cx="6545580" cy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558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.25pt,25.1pt" to="515.65pt,25.1pt" o:allowincell="f" strokecolor="#000000" strokeweight="0.48pt"/>
            </w:pict>
          </mc:Fallback>
        </mc:AlternateConten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</w:t>
      </w:r>
    </w:p>
    <w:p>
      <w:pPr>
        <w:spacing w:after="0" w:line="6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$1.24 za Euro</w:t>
      </w:r>
    </w:p>
    <w:p>
      <w:pPr>
        <w:spacing w:after="0" w:line="8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right="140" w:hanging="137"/>
        <w:spacing w:after="0" w:line="223" w:lineRule="auto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pisarza: - $200, co oznacza obowiązek zakupu 10 000 euro za 1,30 dolara amerykańskiego każdy (gdy dominująca cena rynkowa wynosi 1,24 dolara amerykańskiego każdy) plus $400 premii</w:t>
      </w:r>
    </w:p>
    <w:p>
      <w:pPr>
        <w:spacing w:after="0" w:line="145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280" w:right="160" w:hanging="137"/>
        <w:spacing w:after="0" w:line="222" w:lineRule="auto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posiadacza: +$200, reprezentujący prawo do sprzedaży 10,000 euro za 1,30 dolara amerykańskiego każdy (gdy dominująca cena rynkowa wynosi 1,24 dolara amerykańskiego każdy), pomniejszony o 400 dolarów premii</w:t>
      </w:r>
    </w:p>
    <w:p>
      <w:pPr>
        <w:spacing w:after="0" w:line="14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80"/>
        <w:spacing w:after="0" w:line="26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P/L Umiarkowany Ruch Rynkowy (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00B050"/>
        </w:rPr>
        <w:t xml:space="preserve">Green Plot Point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) </w:t>
      </w: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Cena Rynkowa: $1.31 za Euro</w:t>
      </w:r>
    </w:p>
    <w:p>
      <w:pPr>
        <w:spacing w:after="0" w:line="25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37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Korzystny dla pisarza: + 400 $ otrzymanie premii</w:t>
      </w:r>
    </w:p>
    <w:p>
      <w:pPr>
        <w:spacing w:after="0" w:line="40" w:lineRule="exact"/>
        <w:rPr>
          <w:rFonts w:ascii="Symbol" w:cs="Symbol" w:eastAsia="Symbol" w:hAnsi="Symbol"/>
          <w:sz w:val="14"/>
          <w:szCs w:val="14"/>
          <w:color w:val="auto"/>
        </w:rPr>
      </w:pPr>
    </w:p>
    <w:p>
      <w:pPr xmlns:w="http://schemas.openxmlformats.org/wordprocessingml/2006/main">
        <w:ind w:left="280" w:hanging="137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4"/>
          <w:szCs w:val="14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color w:val="auto"/>
        </w:rPr>
        <w:t xml:space="preserve">Niekorzystny dla posiadacza: - 400 USD premii</w:t>
      </w:r>
    </w:p>
    <w:p>
      <w:pPr>
        <w:spacing w:after="0" w:line="10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6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4"/>
          <w:szCs w:val="14"/>
          <w:u w:val="single" w:color="auto"/>
          <w:color w:val="auto"/>
        </w:rPr>
        <w:t xml:space="preserve">Wartość progu rentowności występuje, gdy dominująca cena rynkowa instrumentu bazowego jest niższa od ceny realizacji, tak że wartość P/L wynosi zero zarówno dla emitenta, jak i dla posiadacza.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6200" w:space="440"/>
            <w:col w:w="3680"/>
          </w:cols>
          <w:pgMar w:left="940" w:top="634" w:right="980" w:bottom="128" w:gutter="0" w:footer="0" w:header="0"/>
          <w:type w:val="continuous"/>
        </w:sectPr>
      </w:pPr>
    </w:p>
    <w:p>
      <w:pPr xmlns:w="http://schemas.openxmlformats.org/wordprocessingml/2006/main">
        <w:spacing w:after="0" w:line="23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 różni się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Przedstawione dane liczbowe obejmują wszystkie koszty samego produktu, ale mogą nie obejmować wszystkich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20320</wp:posOffset>
                </wp:positionV>
                <wp:extent cx="6689725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3499pt,1.6pt" to="521.4pt,1.6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940" w:top="634" w:right="980" w:bottom="128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50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414020</wp:posOffset>
                </wp:positionV>
                <wp:extent cx="6690360" cy="0"/>
                <wp:wrapNone/>
                <wp:docPr id="25" name="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5" o:spid="_x0000_s105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32.6pt" to="568.4pt,32.6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762000</wp:posOffset>
                </wp:positionV>
                <wp:extent cx="6690360" cy="0"/>
                <wp:wrapNone/>
                <wp:docPr id="26" name="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6" o:spid="_x0000_s105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0pt" to="568.4pt,60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6572885</wp:posOffset>
                </wp:positionV>
                <wp:extent cx="6690360" cy="0"/>
                <wp:wrapNone/>
                <wp:docPr id="27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7" o:spid="_x0000_s105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517.55pt" to="568.4pt,517.5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528320</wp:posOffset>
                </wp:positionH>
                <wp:positionV relativeFrom="page">
                  <wp:posOffset>8113395</wp:posOffset>
                </wp:positionV>
                <wp:extent cx="669036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6pt,638.85pt" to="568.4pt,638.8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531495</wp:posOffset>
                </wp:positionH>
                <wp:positionV relativeFrom="page">
                  <wp:posOffset>411480</wp:posOffset>
                </wp:positionV>
                <wp:extent cx="0" cy="8985250"/>
                <wp:wrapNone/>
                <wp:docPr id="29" name="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9" o:spid="_x0000_s105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1.85pt,32.4pt" to="41.85pt,739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7216140</wp:posOffset>
                </wp:positionH>
                <wp:positionV relativeFrom="page">
                  <wp:posOffset>411480</wp:posOffset>
                </wp:positionV>
                <wp:extent cx="0" cy="8985250"/>
                <wp:wrapNone/>
                <wp:docPr id="30" name="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9852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0" o:spid="_x0000_s105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8.2pt,32.4pt" to="568.2pt,739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koszty, które ponosisz na rzecz swojego doradcy lub dystrybutora i nie uwzględniają Twojej osobistej sytuacji podatkowej, która może mieć również wpływ na wysokość otrzymywanych przez Ciebie kwot.</w:t>
      </w:r>
    </w:p>
    <w:p>
      <w:pPr>
        <w:spacing w:after="0" w:line="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16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wysokości każdej kwoty należnej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Ci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z tytułu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zobowiązania.</w:t>
      </w: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520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Jeżeli tak,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przekaże Ci informacje na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8"/>
              </w:rPr>
              <w:t xml:space="preserve">Roczny wpływ na koszty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5200" w:type="dxa"/>
            <w:vAlign w:val="bottom"/>
          </w:tcPr>
          <w:p>
            <w:pPr xmlns:w="http://schemas.openxmlformats.org/wordprocessingml/2006/main">
              <w:ind w:left="100"/>
              <w:spacing w:after="0" w:line="23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 koszty i ich wpływ na Twoją inwestycję.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Łączne koszty standardowych opcji walutowych zależą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top w:val="single" w:sz="8" w:color="auto"/>
              <w:bottom w:val="single" w:sz="8" w:color="auto"/>
              <w:right w:val="single" w:sz="8" w:color="DADADA"/>
            </w:tcBorders>
            <w:gridSpan w:val="7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na wiele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Premia opcyjna to koszt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wpłacone przez posiadacza na rzecz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 mające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istotny wpływ na składkę obejmuje, ale 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są ograniczone do względnych wartości instrumentu bazowego 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obrót walutami, czas do wygaśnięcia opcji,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 ceny wykonania.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Opcje inwestycji obejmują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3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dodatkowe koszty uwzględniające kwestie podatkowe,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transakcyjne i wymagania dotyczące marży, które mogą</w:t>
            </w: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DADADA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istotnie wpływają na wynik finansowy.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Koszty transakcyjne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DADADA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składają się głównie z prowizji (które są nakładane)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otwieraniu, zamykaniu, wykonywaniu i przydzielaniu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transakcji), ale może również zawierać depozyt zabezpieczający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93"/>
              </w:rPr>
              <w:t xml:space="preserve">opłata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koszty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Depozyt zabezpieczający oznacza aktywa, które należy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zdeponowane przez pisarza w jego firmie maklerskiej jako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zabezpieczenie zobowiązania, stosownie do przypadku, do zakupu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6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8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ind w:left="10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sprzedać odsetki bazowe lub zapłacić rozliczenie pieniężne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6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5200" w:type="dxa"/>
            <w:vAlign w:val="bottom"/>
            <w:tcBorders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right w:val="single" w:sz="8" w:color="auto"/>
            </w:tcBorders>
            <w:gridSpan w:val="5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520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0"/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i przypisania opcji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8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20" w:right="22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Pisarz może ponieść dodatkowe koszty.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Niezależnie od kosztów inwestorskich, OCC pobiera związane z tym opłaty za rozliczenie tego produktu swoim członkom rozliczającym, ale nie bezpośrednio Tobie: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https://www.theocc.com/company-information/schedule-of-fees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1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długo powinienem go trzymać i czy mogę wcześnie wyjść z transakcji (czy mogę wcześniej wyjąć pieniądze?)</w:t>
      </w:r>
    </w:p>
    <w:p>
      <w:pPr>
        <w:spacing w:after="0" w:line="6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200"/>
        <w:spacing w:after="0" w:line="23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Zalecany okres przechowywania: Brak.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Decyzja o wykonaniu opcji jest dla posiadacza kluczową decyzją inwestycyjną, podobnie jak decyzja zarówno posiadaczy opcji, jak i emitentów o zamknięciu istniejącej pozycji opcyjnej przed wygaśnięciem opcji lub jej wykonaniem i przypisaniem poprzez zawarcie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związku z tym inwestorzy ponoszą wyłączną odpowiedzialność za ustalenie, czy i kiedy powinni wykonać swoją umowę (umowy) opcji oraz czy zamknąć istniejącą pozycję opcyjną.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Inwestorzy, którzy zamykają istniejącą pozycję opcyjną, rezygnują z wszelkich późniejszych zysków lub strat związanych z tą opcją.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Wszystkie opcje mają datę wygaśnięcia, po której opcja nie będzie miała wartości i nie będzie już istnieć.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Posiadacze opcji w stylu amerykańskim, którzy chcą skorzystać z nich przed upływem terminu ważności, mogą to zrobić, przekazując brokerowi instrukcje dotyczące wykonania opcji, zgodnie z procedurą brokera.</w:t>
      </w:r>
    </w:p>
    <w:p>
      <w:pPr>
        <w:spacing w:after="0" w:line="8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20" w:right="460"/>
        <w:spacing w:after="0" w:line="22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Jak mogę złożyć skargę?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kontaktować się z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investorservices@theocc.com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mogą również złożyć skargę do Urzędu Regulacji Sektora Finansowego ("FINRA")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http://www.finra.org/investors/investor-complaint-center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 lub SEC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https://www.sec.gov/oiea/Complaint.html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000000"/>
        </w:rPr>
        <w:t xml:space="preserve">).</w:t>
      </w:r>
    </w:p>
    <w:p>
      <w:pPr>
        <w:spacing w:after="0" w:line="16" w:lineRule="exact"/>
        <w:rPr>
          <w:sz w:val="20"/>
          <w:szCs w:val="20"/>
          <w:color w:val="auto"/>
        </w:rPr>
      </w:pPr>
    </w:p>
    <w:tbl>
      <w:tblPr>
        <w:tblLayout w:type="fixed"/>
        <w:tblInd w:w="3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5"/>
        </w:trPr>
        <w:tc>
          <w:tcPr>
            <w:tcW w:w="472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Centrum Reklamacji Inwestorów FINRA</w:t>
            </w:r>
          </w:p>
        </w:tc>
        <w:tc>
          <w:tcPr>
            <w:tcW w:w="4580" w:type="dxa"/>
            <w:vAlign w:val="bottom"/>
          </w:tcPr>
          <w:p>
            <w:pPr xmlns:w="http://schemas.openxmlformats.org/wordprocessingml/2006/main"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Komisja Papierów Wartościowych i Giełd USA</w:t>
            </w:r>
          </w:p>
        </w:tc>
      </w:tr>
      <w:tr>
        <w:trPr>
          <w:trHeight w:val="300"/>
        </w:trPr>
        <w:tc>
          <w:tcPr>
            <w:tcW w:w="472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9509 Key West Avenue</w:t>
            </w:r>
          </w:p>
        </w:tc>
        <w:tc>
          <w:tcPr>
            <w:tcW w:w="4580" w:type="dxa"/>
            <w:vAlign w:val="bottom"/>
          </w:tcPr>
          <w:p>
            <w:pPr xmlns:w="http://schemas.openxmlformats.org/wordprocessingml/2006/main"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Biuro Edukacji i Rzecznictwa Inwestorskiego</w:t>
            </w:r>
          </w:p>
        </w:tc>
      </w:tr>
      <w:tr>
        <w:trPr>
          <w:trHeight w:val="300"/>
        </w:trPr>
        <w:tc>
          <w:tcPr>
            <w:tcW w:w="472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Rockville, MD 20850-3329</w:t>
            </w:r>
          </w:p>
        </w:tc>
        <w:tc>
          <w:tcPr>
            <w:tcW w:w="4580" w:type="dxa"/>
            <w:vAlign w:val="bottom"/>
          </w:tcPr>
          <w:p>
            <w:pPr xmlns:w="http://schemas.openxmlformats.org/wordprocessingml/2006/main"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100 F Street, Gdzie Indziej Niewymienione.</w:t>
            </w:r>
          </w:p>
        </w:tc>
      </w:tr>
      <w:tr>
        <w:trPr>
          <w:trHeight w:val="300"/>
        </w:trPr>
        <w:tc>
          <w:tcPr>
            <w:tcW w:w="4720" w:type="dxa"/>
            <w:vAlign w:val="bottom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Telefon: (240) 386-HELP (4357) Faks: (866) 397-3290</w:t>
            </w:r>
          </w:p>
        </w:tc>
        <w:tc>
          <w:tcPr>
            <w:tcW w:w="4580" w:type="dxa"/>
            <w:vAlign w:val="bottom"/>
          </w:tcPr>
          <w:p>
            <w:pPr xmlns:w="http://schemas.openxmlformats.org/wordprocessingml/2006/main">
              <w:ind w:left="18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 xml:space="preserve">Waszyngton, DC 20549-0213 Faks: (202) 772-9295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16510</wp:posOffset>
                </wp:positionV>
                <wp:extent cx="6690360" cy="0"/>
                <wp:wrapNone/>
                <wp:docPr id="31" name="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1" o:spid="_x0000_s1056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6pt,1.3pt" to="532.4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640"/>
      </w:cols>
      <w:pgMar w:left="720" w:top="702" w:right="880" w:bottom="23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5EA53D82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1954249A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37CE1D38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2024-05-21T09:41:45Z</dcterms:created>
  <dcterms:modified xsi:type="dcterms:W3CDTF">2024-05-21T09:41:45Z</dcterms:modified>
</cp:coreProperties>
</file>