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626110</wp:posOffset>
                </wp:positionH>
                <wp:positionV relativeFrom="page">
                  <wp:posOffset>463550</wp:posOffset>
                </wp:positionV>
                <wp:extent cx="6677025" cy="496570"/>
                <wp:wrapNone/>
                <wp:docPr id="1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77025" cy="496570"/>
                        </a:xfrm>
                        <a:prstGeom prst="rect">
                          <a:avLst/>
                        </a:prstGeom>
                        <a:solidFill>
                          <a:srgbClr val="1F4E79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1" o:spid="_x0000_s1026" style="position:absolute;margin-left:49.3pt;margin-top:36.5pt;width:525.7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1F4E79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673735</wp:posOffset>
                </wp:positionH>
                <wp:positionV relativeFrom="page">
                  <wp:posOffset>463550</wp:posOffset>
                </wp:positionV>
                <wp:extent cx="6581775" cy="49657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581775" cy="4965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xmlns:v="urn:schemas-microsoft-com:vml" id="Shape 2" o:spid="_x0000_s1027" style="position:absolute;margin-left:53.05pt;margin-top:36.5pt;width:518.25pt;height:39.1pt;z-index:-251657728;visibility:visible;mso-wrap-style:square;mso-width-percent:0;mso-height-percent:0;mso-wrap-distance-left:0pt;mso-wrap-distance-top:0;mso-wrap-distance-right:0pt;mso-wrap-distance-bottom:0;mso-position-horizontal:absolute;mso-position-horizontal-relative:page;mso-position-vertical:absolute;mso-position-vertical-relative:page;mso-width-percent:0;mso-height-percent:0;mso-width-relative:page;mso-height-relative:page;v-text-anchor:top" o:allowincell="f" fillcolor="#000000" stroked="f">
                <w10:wrap xmlns:w10="urn:schemas-microsoft-com:office:word" anchorx="page" anchory="page"/>
              </v:rect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75.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962660</wp:posOffset>
                </wp:positionV>
                <wp:extent cx="6690360" cy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75.8pt" to="575.6pt,75.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1837690</wp:posOffset>
                </wp:positionV>
                <wp:extent cx="6690360" cy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144.7pt" to="575.6pt,144.7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3052445</wp:posOffset>
                </wp:positionV>
                <wp:extent cx="6690360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240.35pt" to="575.6pt,240.3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3911600</wp:posOffset>
                </wp:positionV>
                <wp:extent cx="6690360" cy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08pt" to="575.6pt,308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89254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92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7307580</wp:posOffset>
                </wp:positionH>
                <wp:positionV relativeFrom="page">
                  <wp:posOffset>457200</wp:posOffset>
                </wp:positionV>
                <wp:extent cx="0" cy="889254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89254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4pt,36pt" to="575.4pt,736.2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Kluczowe informacje</w:t>
      </w:r>
    </w:p>
    <w:p>
      <w:pPr>
        <w:spacing w:after="0" w:line="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32"/>
          <w:szCs w:val="32"/>
          <w:color w:val="FFFFFF"/>
        </w:rPr>
        <w:t xml:space="preserve">Dokument - Standardowa Opcja Na Akcje (Long Call)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25400</wp:posOffset>
                </wp:positionV>
                <wp:extent cx="6676390" cy="86868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868680"/>
                        </a:xfrm>
                        <a:prstGeom prst="rect">
                          <a:avLst/>
                        </a:prstGeom>
                        <a:solidFill>
                          <a:srgbClr val="9CC2E5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-4.6499pt;margin-top:2pt;width:525.7pt;height:68.4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9CC2E5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Przeznaczenie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jc w:val="both"/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Niniejszy dokument zawiera kluczowe informacje na temat tego produktu inwestycyjnego.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to materiał marketingowy.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Informacje te są wymagane przez prawo, aby pomóc Ci zrozumieć charakter, ryzyko, koszty, potencjalne zyski i straty tego produktu oraz aby pomóc Ci porównać go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Jest to dokument wyłącznie angielski, nieupoważniony do tłumaczenia na inny język.</w:t>
      </w:r>
    </w:p>
    <w:p>
      <w:pPr>
        <w:spacing w:after="0" w:line="1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Produkt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29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Standardowe Opcje Na Akcje W Stanach Zjednoczonych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Options Clearing Corporation ("OCC") przedstawia niniejszy dokument na podstawie Rozporządzenia UE nr 1286/2014 dla standardowych opcji na akcje (a/k/a "opcje notowane").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notowane i są przedmiotem obrotu na amerykańskich giełdach opcji zarejestrowanych w amerykańskiej Komisji Papierów Wartościowych i Giełd ("SEC") i są emitowane, rozliczane i rozliczane przez OCC, agencję rozliczeniową zarejestrowaną w SEC.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Więcej informacji, w tym dane kontaktowe amerykańskich giełd opcji, inwestorzy mogą znaleźć na stronie internetowej OCC pod adresem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www.theocc.com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lub skontaktować się z OCC pod numerem 1-312-322-6200.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Zaktualizowany 28 grudnia 2022 i 20 kwietnia 2023.</w:t>
      </w:r>
    </w:p>
    <w:p>
      <w:pPr>
        <w:spacing w:after="0" w:line="83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20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Alert.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Zamierzasz kupić produkt, który nie jest prosty i może być trudny do zrozumienia.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Inwestorzy nie powinni handlować standardowymi opcjami na akcje, dopóki nie przeczytają i nie zrozumieją tego dokumentu i powiązanego dokumentu ujawniającego informacje na temat ryzyka, który jest przedkładany SEC,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auto"/>
        </w:rPr>
        <w:t xml:space="preserve">Charakterystyka i ryzyko opcji standardowych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, zwanego również dokumentem ujawniającym informacje na temat opcji ("ODD")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Ujawnienia w niniejszym dokumencie należy interpretować w sposób zgodny z ODD, 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u w:val="single" w:color="auto"/>
          <w:color w:val="0563C1"/>
        </w:rPr>
        <w:t xml:space="preserve">https://www.theocc.com/components/docs/riskstoc.pdf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20955</wp:posOffset>
                </wp:positionV>
                <wp:extent cx="6676390" cy="542861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6390" cy="5428615"/>
                        </a:xfrm>
                        <a:prstGeom prst="rect">
                          <a:avLst/>
                        </a:prstGeom>
                        <a:solidFill>
                          <a:srgbClr val="BDD6E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1" o:spid="_x0000_s1036" style="position:absolute;margin-left:-4.6499pt;margin-top:1.65pt;width:525.7pt;height:427.4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BDD6EE" stroked="f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Co to za produkt?</w:t>
      </w:r>
    </w:p>
    <w:p>
      <w:pPr>
        <w:spacing w:after="0" w:line="4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Typ</w:t>
      </w:r>
    </w:p>
    <w:p>
      <w:pPr>
        <w:spacing w:after="0" w:line="10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60"/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Standaryzowana opcja na akcje to prawo do nabycia lub zbycia określonej kwoty lub wartości bazowego papieru wartościowego po ustalonej cenie ("cena wykonania") poprzez wykonanie opcji przed upływem terminu jej ważności.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Ekspozycja na bazowy papier wartościowy jest zatem pośrednia, ponieważ wartość opcji jest ustalana na podstawie wartości bazowego papieru wartościowego.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Terminy wygaśnięcia opcji na akcje są różne.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OCC nie może jednostronnie zakończyć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pewnych nadzwyczajnych okolicznościach, w których warunki opcji zostaną jednoznacznie uznane za błędne, giełda, na której wykonywana jest transakcja, może jednostronnie wypowiedzieć opcję w określonym terminie po jej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niektórych przypadkach działanie korporacyjne w odniesieniu do bazowego kapitałowego papieru wartościowego może skutkować zmianą warunków opcji zgodnie z zasadami UOKiK, które mogą różnić się od metodyki stosowanej na europejskich rynkach opcji.</w:t>
      </w:r>
    </w:p>
    <w:p>
      <w:pPr>
        <w:spacing w:after="0" w:line="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Cele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right="40"/>
        <w:spacing w:after="0" w:line="23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Posiadaczem (kupującym) opcji jest osoba, która kupuje prawo z opcji i płaci autorowi (sprzedającemu) bezzwrotną płatność zwaną "premią".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Scenariusz opcji jest zobowiązany - w przypadku przypisania mu wykonania opcji - do wykonania zobowiązania zgodnie z warunkami zakupu lub sprzedaży bazowego papieru wartościowego po cenie wykonania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Opcja dająca posiadaczowi prawo do zakupu jest opcją kupna, a opcja dająca posiadaczowi prawo do sprzedaży jest opcją sprzedaży.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może skorzystać z opcji typu amerykańskiego w dowolnym momencie przed wygaśnięciem, natomiast opcja typu europejskiego może być wykonywana tylko w określonym okresie przed wygaśnięciem (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i w:val="1"/>
          <w:iCs w:val="1"/>
          <w:color w:val="auto"/>
        </w:rPr>
        <w:t xml:space="preserve">np.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data wygaśnięcia).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Standardowe opcje na akcje są zazwyczaj rozliczane fizycznie, ale mogą być również rozliczane w środkach pieniężnych.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Fizyczne rozliczenie daje posiadaczowi prawo do otrzymania (wezwania) lub fizycznej dostawy (sprzedaży) bazowego papieru wartościowego po wykonaniu.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rozliczeniu gotówkowym posiadacz ma prawo do otrzymania płatności gotówkowej, jeżeli ustalona wartość bazowego papieru wartościowego w momencie wykonania przekracza (wezwanie) lub jest niższa od (sprzedaż) ceny wykonania.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Czynniki wpływające na wartość opcji to cena wykonania opcji, czas do wygaśnięcia opcji oraz wartość bazowego papieru wartościowego i jego podatność na wahania cen (zmienność).</w:t>
      </w:r>
    </w:p>
    <w:p>
      <w:pPr>
        <w:spacing w:after="0" w:line="4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Zamierzony Inwestor Detaliczny</w:t>
      </w:r>
    </w:p>
    <w:p>
      <w:pPr>
        <w:spacing w:after="0" w:line="10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 w:line="2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Produkt ten nie jest przeznaczony dla konkretnego rodzaju inwestora ani nie jest przeznaczony do realizacji określonego celu inwestycyjnego lub strategii inwestycyjnej.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Nie jest ona odpowiednia dla wszystkich inwestorów i jest przeznaczona wyłącznie dla inwestorów, którzy dobrze rozumieją produkt i mogą ponieść potencjalne straty związane z nim i związaną z nim strategią inwestycyjną.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przypadku pytań dotyczących odpowiedniości prosimy o kontakt z brokerem lub doradcą inwestycyjnym.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357505</wp:posOffset>
                </wp:positionV>
                <wp:extent cx="6689725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28.15pt" to="521.6pt,28.15pt" o:allowincell="f" strokecolor="#000000" strokeweight="0.4799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1080" w:top="699" w:right="840" w:bottom="1120" w:gutter="0" w:footer="0" w:header="0"/>
        </w:sectPr>
      </w:pPr>
    </w:p>
    <w:bookmarkStart w:id="1" w:name="page2"/>
    <w:bookmarkEnd w:id="1"/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75.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9119235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19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54.05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7307580</wp:posOffset>
                </wp:positionH>
                <wp:positionV relativeFrom="page">
                  <wp:posOffset>457200</wp:posOffset>
                </wp:positionV>
                <wp:extent cx="0" cy="9119235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911923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4pt,36pt" to="575.4pt,754.05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4"/>
          <w:szCs w:val="24"/>
          <w:b w:val="1"/>
          <w:bCs w:val="1"/>
          <w:color w:val="auto"/>
        </w:rPr>
        <w:t xml:space="preserve">Jakie jest ryzyko i co mogę dostać w zamian?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1225550</wp:posOffset>
            </wp:positionH>
            <wp:positionV relativeFrom="paragraph">
              <wp:posOffset>15875</wp:posOffset>
            </wp:positionV>
            <wp:extent cx="4896485" cy="177990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1225550</wp:posOffset>
            </wp:positionH>
            <wp:positionV relativeFrom="paragraph">
              <wp:posOffset>15875</wp:posOffset>
            </wp:positionV>
            <wp:extent cx="4896485" cy="177990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648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30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Wskaźnik Ryzyka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20"/>
        <w:spacing w:after="0" w:line="2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Podsumowujący wskaźnik ryzyka jest wskazówką dotyczącą poziomu ryzyka tego produktu w porównaniu z innymi produktami.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Pokazuje, jak prawdopodobne jest, że produkt straci pieniądze z powodu zmian na rynkach lub dlatego, że nie jesteśmy w stanie zapłacić.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Zaklasyfikowaliśmy ten produkt jako 7 z 7, co jest najwyższą klasą ryzyka i ocenia potencjalne straty z przyszłych wyników na bardzo wysokim poziomie.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Ten produkt nie obejmuje żadnej ochrony przed przyszłą sytuacją rynkową, więc możesz stracić część lub całość inwestycji.</w:t>
      </w:r>
    </w:p>
    <w:p>
      <w:pPr>
        <w:spacing w:after="0" w:line="10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Profil ryzyka i zysku znormalizowanej opcji na akcje dla posiadaczy i emitentów zależy od jej warunków, ale może obejmować następujące czynniki:</w:t>
      </w:r>
    </w:p>
    <w:p>
      <w:pPr>
        <w:spacing w:after="0" w:line="8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40" w:hanging="230"/>
        <w:spacing w:after="0" w:line="222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Posiadacz opcji ryzykuje utratę całej premii, jeżeli cena wykonania opcji jest wyższa od bieżącej wartości rynkowej instrumentu bazowego lub cena wykonania opcji jest niższa od wartości rynkowej.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obu przypadkach mówi się, że opcja wygasa "z pieniędzy".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Posiadacz opcji, który nie sprzeda opcji ani nie skorzysta z niej przed jej wygaśnięciem, może stracić całą swoją inwestycję w tę opcję.</w:t>
      </w:r>
    </w:p>
    <w:p>
      <w:pPr>
        <w:spacing w:after="0" w:line="80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20" w:hanging="230"/>
        <w:spacing w:after="0" w:line="217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amerykańska giełda opcji, na której jedynym przedmiotem obrotu są opcje, stanie się niedostępna, inwestorzy w te opcje nie będą już mogli zawierać transakcji zamknięcia.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Ponadto mogą wystąpić sytuacje, w których ceny opcji nie utrzymają zwyczajowych lub oczekiwanych relacji z cenami bazowych lub powiązanych z nimi udziałów.</w:t>
      </w:r>
    </w:p>
    <w:p>
      <w:pPr>
        <w:spacing w:after="0" w:line="79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right="120" w:hanging="230"/>
        <w:spacing w:after="0" w:line="205" w:lineRule="auto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Jeżeli bazowy papier wartościowy wykonanej opcji, który jest fizycznie rozliczany, jest niedostępny, zasady UOKiK mogą wymagać alternatywnej formy rozliczenia, takiej jak rozliczenie gotówkowe.</w:t>
      </w:r>
    </w:p>
    <w:p>
      <w:pPr>
        <w:spacing w:after="0" w:line="2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40" w:hanging="230"/>
        <w:spacing w:after="0"/>
        <w:tabs>
          <w:tab w:leader="none" w:pos="24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Prawo podatkowe w państwie członkowskim pochodzenia inwestora może mieć wpływ na jego zwrot.</w:t>
      </w:r>
    </w:p>
    <w:p>
      <w:pPr>
        <w:spacing w:after="0" w:line="86" w:lineRule="exact"/>
        <w:rPr>
          <w:rFonts w:ascii="Symbol" w:cs="Symbol" w:eastAsia="Symbol" w:hAnsi="Symbol"/>
          <w:sz w:val="22"/>
          <w:szCs w:val="22"/>
          <w:color w:val="auto"/>
        </w:rPr>
      </w:pPr>
    </w:p>
    <w:p>
      <w:pPr xmlns:w="http://schemas.openxmlformats.org/wordprocessingml/2006/main">
        <w:ind w:left="220" w:right="180" w:hanging="210"/>
        <w:spacing w:after="0" w:line="214" w:lineRule="auto"/>
        <w:tabs>
          <w:tab w:leader="none" w:pos="220" w:val="left"/>
        </w:tabs>
        <w:numPr>
          <w:ilvl w:val="0"/>
          <w:numId w:val="1"/>
        </w:numPr>
        <w:rPr>
          <w:rFonts w:ascii="Symbol" w:cs="Symbol" w:eastAsia="Symbol" w:hAnsi="Symbol"/>
          <w:sz w:val="22"/>
          <w:szCs w:val="22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Bądź świadomy ryzyka walutowego.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Wszelkie płatności gotówkowe związane z handlem lub korzystaniem z opcji będą rozliczane w dolarach amerykańskich, a w konsekwencji wyniki inwestycyjne mogą się zmieniać w zależności od wahań kursów walut.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Ryzyko to nie jest uwzględniane we wskaźniku powyżej.</w:t>
      </w:r>
    </w:p>
    <w:p>
      <w:pPr>
        <w:spacing w:after="0" w:line="10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140"/>
        <w:spacing w:after="0" w:line="21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Scenariusze wyników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(Przykłady nie obejmują kosztów prowizji, podatków i innych kosztów transakcyjnych, które mogą mieć wpływ na wartość transakcji i pozycji opcyjnej)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468110" cy="17557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24130</wp:posOffset>
            </wp:positionH>
            <wp:positionV relativeFrom="paragraph">
              <wp:posOffset>14605</wp:posOffset>
            </wp:positionV>
            <wp:extent cx="6468110" cy="175577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175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2240" w:h="15840" w:orient="portrait"/>
          <w:cols w:equalWidth="0" w:num="1">
            <w:col w:w="10320"/>
          </w:cols>
          <w:pgMar w:left="1080" w:top="706" w:right="840" w:bottom="229" w:gutter="0" w:footer="0" w:header="0"/>
        </w:sectPr>
      </w:pPr>
    </w:p>
    <w:p>
      <w:pPr>
        <w:spacing w:after="0" w:line="177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center"/>
        <w:ind w:left="3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595959"/>
        </w:rPr>
        <w:t xml:space="preserve">P/L dla posiadacza połączenia (Premium $5; Cena ćwiczenia $45)</w:t>
      </w:r>
    </w:p>
    <w:p>
      <w:pPr>
        <w:spacing w:after="0" w:line="127" w:lineRule="exact"/>
        <w:rPr>
          <w:sz w:val="20"/>
          <w:szCs w:val="20"/>
          <w:color w:val="auto"/>
        </w:rPr>
      </w:pPr>
    </w:p>
    <w:tbl>
      <w:tblPr>
        <w:tblLayout w:type="fixed"/>
        <w:tblInd w:w="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132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60 $</w:t>
            </w: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80" w:type="dxa"/>
            <w:vAlign w:val="bottom"/>
            <w:vMerge w:val="restart"/>
            <w:textDirection w:val="btLr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94"/>
              </w:rPr>
              <w:t xml:space="preserve">P/L</w:t>
            </w: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40 $</w:t>
            </w: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20 $</w:t>
            </w: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D9D9D9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0 $</w:t>
            </w: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bottom w:val="single" w:sz="8" w:color="BFBFBF"/>
            </w:tcBorders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4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8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0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20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40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61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  <w:w w:val="73"/>
              </w:rPr>
              <w:t xml:space="preserve">60</w:t>
            </w:r>
          </w:p>
        </w:tc>
        <w:tc>
          <w:tcPr>
            <w:tcW w:w="36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$</w:t>
            </w:r>
          </w:p>
        </w:tc>
        <w:tc>
          <w:tcPr>
            <w:tcW w:w="38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13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  <w:w w:val="76"/>
              </w:rPr>
              <w:t xml:space="preserve">80</w:t>
            </w:r>
          </w:p>
        </w:tc>
        <w:tc>
          <w:tcPr>
            <w:tcW w:w="7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9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100 $</w:t>
            </w:r>
          </w:p>
        </w:tc>
        <w:tc>
          <w:tcPr>
            <w:tcW w:w="560" w:type="dxa"/>
            <w:vAlign w:val="bottom"/>
            <w:gridSpan w:val="3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120 $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5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595959"/>
              </w:rPr>
              <w:t xml:space="preserve">- 20 USD</w:t>
            </w:r>
          </w:p>
        </w:tc>
        <w:tc>
          <w:tcPr>
            <w:tcW w:w="160" w:type="dxa"/>
            <w:vAlign w:val="bottom"/>
            <w:tcBorders>
              <w:right w:val="single" w:sz="8" w:color="BFBFBF"/>
            </w:tcBorders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4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6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560" w:type="dxa"/>
            <w:vAlign w:val="bottom"/>
            <w:gridSpan w:val="3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0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4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60" w:type="dxa"/>
            <w:vAlign w:val="bottom"/>
            <w:tcBorders>
              <w:top w:val="single" w:sz="8" w:color="D9D9D9"/>
            </w:tcBorders>
            <w:gridSpan w:val="6"/>
            <w:vMerge w:val="restart"/>
          </w:tcPr>
          <w:p>
            <w:pPr xmlns:w="http://schemas.openxmlformats.org/wordprocessingml/2006/main"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6"/>
                <w:szCs w:val="16"/>
                <w:color w:val="595959"/>
              </w:rPr>
              <w:t xml:space="preserve">Cena rynkowa instrumentu bazowego</w:t>
            </w:r>
          </w:p>
        </w:tc>
        <w:tc>
          <w:tcPr>
            <w:tcW w:w="76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8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D9D9D9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6"/>
        </w:trPr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60" w:type="dxa"/>
            <w:vAlign w:val="bottom"/>
            <w:gridSpan w:val="6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P/L Mechanizm Stressed Market Underlying Move (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FF0000"/>
        </w:rPr>
        <w:t xml:space="preserve">Czerwony Punkt Wykresu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$100</w:t>
      </w:r>
    </w:p>
    <w:p>
      <w:pPr>
        <w:spacing w:after="0" w:line="123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4"/>
        <w:spacing w:after="0"/>
        <w:tabs>
          <w:tab w:leader="none" w:pos="280" w:val="left"/>
        </w:tabs>
        <w:numPr>
          <w:ilvl w:val="0"/>
          <w:numId w:val="2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$50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2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+ 50 $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5"/>
          <w:szCs w:val="15"/>
          <w:u w:val="single" w:color="auto"/>
          <w:color w:val="auto"/>
        </w:rPr>
        <w:t xml:space="preserve">P/L Umiarkowane Przesunięcie Rynkowe (</w:t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u w:val="single" w:color="auto"/>
          <w:color w:val="00B050"/>
        </w:rPr>
        <w:t xml:space="preserve">Zielony Punkt Działki</w:t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u w:val="single" w:color="auto"/>
          <w:color w:val="auto"/>
        </w:rPr>
        <w:t xml:space="preserve">)</w:t>
      </w:r>
    </w:p>
    <w:p>
      <w:pPr>
        <w:spacing w:after="0" w:line="119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Cena rynkowa: $60</w:t>
      </w:r>
    </w:p>
    <w:p>
      <w:pPr>
        <w:spacing w:after="0" w:line="12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80" w:hanging="144"/>
        <w:spacing w:after="0"/>
        <w:tabs>
          <w:tab w:leader="none" w:pos="280" w:val="left"/>
        </w:tabs>
        <w:numPr>
          <w:ilvl w:val="0"/>
          <w:numId w:val="3"/>
        </w:numPr>
        <w:rPr>
          <w:rFonts w:ascii="Symbol" w:cs="Symbol" w:eastAsia="Symbol" w:hAnsi="Symbol"/>
          <w:sz w:val="16"/>
          <w:szCs w:val="16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Niekorzystny dla pisarza - $10</w:t>
      </w:r>
    </w:p>
    <w:p>
      <w:pPr xmlns:w="http://schemas.openxmlformats.org/wordprocessingml/2006/main">
        <w:ind w:left="140"/>
        <w:spacing w:after="0" w:line="211" w:lineRule="auto"/>
        <w:tabs>
          <w:tab w:leader="none" w:pos="1760" w:val="left"/>
        </w:tabs>
        <w:rPr>
          <w:sz w:val="20"/>
          <w:szCs w:val="20"/>
          <w:color w:val="auto"/>
        </w:rPr>
      </w:pPr>
      <w:r xmlns:w="http://schemas.openxmlformats.org/wordprocessingml/2006/main">
        <w:rPr>
          <w:rFonts w:ascii="Symbol" w:cs="Symbol" w:eastAsia="Symbol" w:hAnsi="Symbol"/>
          <w:sz w:val="16"/>
          <w:szCs w:val="16"/>
          <w:color w:val="auto"/>
        </w:rPr>
        <w:t>·</w:t>
      </w:r>
      <w:r>
        <w:rPr xmlns:w="http://schemas.openxmlformats.org/wordprocessingml/2006/main">
          <w:rFonts w:ascii="Calibri" w:cs="Calibri" w:eastAsia="Calibri" w:hAnsi="Calibri"/>
          <w:sz w:val="16"/>
          <w:szCs w:val="16"/>
          <w:color w:val="auto"/>
        </w:rPr>
        <w:t xml:space="preserve"> Korzystny dla posiadacza</w:t>
        <w:tab xmlns:w="http://schemas.openxmlformats.org/wordprocessingml/2006/main"/>
      </w:r>
      <w:r>
        <w:rPr xmlns:w="http://schemas.openxmlformats.org/wordprocessingml/2006/main">
          <w:rFonts w:ascii="Calibri" w:cs="Calibri" w:eastAsia="Calibri" w:hAnsi="Calibri"/>
          <w:sz w:val="15"/>
          <w:szCs w:val="15"/>
          <w:color w:val="auto"/>
        </w:rPr>
        <w:t xml:space="preserve">+ 10 USD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60"/>
        <w:spacing w:after="0" w:line="2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16"/>
          <w:szCs w:val="16"/>
          <w:u w:val="single" w:color="auto"/>
          <w:color w:val="auto"/>
        </w:rPr>
        <w:t xml:space="preserve">Wartość Break Even Point występuje, gdy cena bazowa jest równa cenie wykonania plus premia.</w:t>
      </w:r>
    </w:p>
    <w:p>
      <w:pPr>
        <w:spacing w:after="0" w:line="99" w:lineRule="exact"/>
        <w:rPr>
          <w:sz w:val="20"/>
          <w:szCs w:val="20"/>
          <w:color w:val="auto"/>
        </w:rPr>
      </w:pPr>
    </w:p>
    <w:p>
      <w:pPr>
        <w:sectPr>
          <w:pgSz w:w="12240" w:h="15840" w:orient="portrait"/>
          <w:cols w:equalWidth="0" w:num="2">
            <w:col w:w="5860" w:space="460"/>
            <w:col w:w="4000"/>
          </w:cols>
          <w:pgMar w:left="1080" w:top="706" w:right="840" w:bottom="229" w:gutter="0" w:footer="0" w:header="0"/>
          <w:type w:val="continuous"/>
        </w:sectPr>
      </w:pPr>
    </w:p>
    <w:p>
      <w:pPr xmlns:w="http://schemas.openxmlformats.org/wordprocessingml/2006/main">
        <w:spacing w:after="0" w:line="233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Wykres ilustruje, jak Twoja inwestycja może się sprawdzić.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Można to porównać do wykresów wypłat dla innych instrumentów pochodnych.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Wykres przedstawia szereg możliwych wyników i nie jest dokładną wskazówką, co możesz otrzymać.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Inwestowanie w ten produkt oznacza, że uważasz, że cena bazowa wzrośnie.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To, co otrzymasz, będzie się różnić w zależności od tego, jak wartość instrumentu bazowego zmienia się w czasie, co zależy od przyszłych wyników rynkowych, które są niepewne i nie można ich przewidzieć.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Dla dwóch wartości instrumentu bazowego wykres pokazuje, jaki byłby zysk lub strata produktu.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Oś pozioma pokazuje możliwe wartości linii bazowej, a oś pionowa pokazuje zysk lub stratę opcji.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Podane liczby obejmują wszystkie koszty samego produktu, ale mogą nie obejmować wszystkich kosztów, które płacisz swojemu doradcy lub dystrybutorowi i nie uwzględniają Twojej osobistej sytuacji podatkowej, która może mieć również wpływ na to, ile otrzymasz.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-65405</wp:posOffset>
                </wp:positionH>
                <wp:positionV relativeFrom="paragraph">
                  <wp:posOffset>19050</wp:posOffset>
                </wp:positionV>
                <wp:extent cx="6689725" cy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972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5.1499pt,1.5pt" to="521.6pt,1.5pt" o:allowincell="f" strokecolor="#000000" strokeweight="0.48pt"/>
            </w:pict>
          </mc:Fallback>
        </mc:AlternateContent>
      </w:r>
    </w:p>
    <w:p>
      <w:pPr>
        <w:sectPr>
          <w:pgSz w:w="12240" w:h="15840" w:orient="portrait"/>
          <w:cols w:equalWidth="0" w:num="1">
            <w:col w:w="10320"/>
          </w:cols>
          <w:pgMar w:left="1080" w:top="706" w:right="840" w:bottom="229" w:gutter="0" w:footer="0" w:header="0"/>
          <w:type w:val="continuous"/>
        </w:sectPr>
      </w:pPr>
    </w:p>
    <w:bookmarkStart w:id="2" w:name="page3"/>
    <w:bookmarkEnd w:id="2"/>
    <w:p>
      <w:pPr xmlns:w="http://schemas.openxmlformats.org/wordprocessingml/2006/main">
        <w:ind w:left="220" w:right="180"/>
        <w:spacing w:after="0" w:line="23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619760</wp:posOffset>
                </wp:positionH>
                <wp:positionV relativeFrom="page">
                  <wp:posOffset>459740</wp:posOffset>
                </wp:positionV>
                <wp:extent cx="6690360" cy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8.8pt,36.2pt" to="575.6pt,36.2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622935</wp:posOffset>
                </wp:positionH>
                <wp:positionV relativeFrom="page">
                  <wp:posOffset>457200</wp:posOffset>
                </wp:positionV>
                <wp:extent cx="0" cy="855853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58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49.05pt,36pt" to="49.05pt,709.9pt" o:allowincell="f" strokecolor="#000000" strokeweight="0.4799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mc:AlternateContent xmlns:mc="http://schemas.openxmlformats.org/markup-compatibility/2006" xmlns:w="http://schemas.openxmlformats.org/wordprocessingml/2006/main">
          <mc:Choice Requires="wps">
            <w:drawing>
              <wp:anchor xmlns:wp="http://schemas.openxmlformats.org/drawingml/2006/wordprocessingDrawing" simplePos="0" relativeHeight="251657728" behindDoc="1" locked="0" layoutInCell="0" allowOverlap="1">
                <wp:simplePos x="0" y="0"/>
                <wp:positionH relativeFrom="page">
                  <wp:posOffset>7307580</wp:posOffset>
                </wp:positionH>
                <wp:positionV relativeFrom="page">
                  <wp:posOffset>457200</wp:posOffset>
                </wp:positionV>
                <wp:extent cx="0" cy="855853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763" cy="855853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xmlns:v="urn:schemas-microsoft-com:vml"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4pt,36pt" to="575.4pt,709.9pt" o:allowincell="f" strokecolor="#000000" strokeweight="0.48pt">
                <w10:wrap xmlns:w10="urn:schemas-microsoft-com:office:word" anchorx="page" anchory="page"/>
              </v:line>
            </w:pict>
          </mc:Fallback>
        </mc:AlternateConten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Co się stanie, jeśli OCC nie będzie w stanie wypłacić?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Zasady UOKiK zostały zaprojektowane w taki sposób, aby wyniki dotyczące wszystkich opcji były pomiędzy UOKiK a grupą firm maklerskich zwanych członkami rozliczającymi, które posiadają pozycje wszystkich posiadaczy opcji i emitentów na swoich rachunkach UOKiK.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Członkowie rozliczający muszą spełniać wymogi finansowe UOKiK w zakresie uczestnictwa oraz ustanawiać zabezpieczenia dla pozycji emitentów opcji, które są przez nich notowane.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Biuro maklerskie emitenta może wymagać od inwestora dostarczenia powiązanych zabezpieczeń w związku z pozycjami, jak opisano poniżej.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 procesie nowacji prawnej OCC staje się kupującym dla każdego sprzedającego członka rozliczającego, a sprzedającym dla każdego kupującego członka rozliczającego.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System ten ma na celu wsparcie realizacji opcji oraz zarządzanie ryzykiem kontrahenta, aby ułatwić rozrachunek transakcji opcjami w przypadku, gdy członek rozliczający nie wywiązuje się ze swoich zobowiązań.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Istnieje jednak ryzyko, że OCC może nie mieć wystarczających środków finansowych na uregulowanie zobowiązań i możesz ponieść stratę do każdej kwoty należnej.</w:t>
      </w:r>
    </w:p>
    <w:p>
      <w:pPr>
        <w:spacing w:after="0" w:line="2" w:lineRule="exact"/>
        <w:rPr>
          <w:sz w:val="20"/>
          <w:szCs w:val="20"/>
          <w:color w:val="auto"/>
        </w:rPr>
      </w:pPr>
    </w:p>
    <w:tbl>
      <w:tblPr>
        <w:tblLayout w:type="fixed"/>
        <w:tblInd w:w="1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80"/>
        </w:trPr>
        <w:tc>
          <w:tcPr>
            <w:tcW w:w="1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top w:val="single" w:sz="8" w:color="auto"/>
              <w:right w:val="single" w:sz="8" w:color="auto"/>
            </w:tcBorders>
            <w:gridSpan w:val="6"/>
          </w:tcPr>
          <w:p>
            <w:pPr xmlns:w="http://schemas.openxmlformats.org/wordprocessingml/2006/main">
              <w:spacing w:after="0" w:line="25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Jakie są koszty?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Osoba doradzająca lub sprzedająca</w:t>
            </w: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top w:val="single" w:sz="8" w:color="auto"/>
              <w:bottom w:val="single" w:sz="8" w:color="auto"/>
            </w:tcBorders>
            <w:gridSpan w:val="4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Koszty W Czasie</w:t>
            </w:r>
          </w:p>
        </w:tc>
        <w:tc>
          <w:tcPr>
            <w:tcW w:w="22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Zakończenie pracy</w:t>
            </w:r>
          </w:p>
        </w:tc>
        <w:tc>
          <w:tcPr>
            <w:tcW w:w="14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Ten produkt może obciążać Cię innymi kosztami.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Jeżeli tak,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ogółem</w:t>
            </w: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</w:tcPr>
          <w:p>
            <w:pPr xmlns:w="http://schemas.openxmlformats.org/wordprocessingml/2006/main">
              <w:spacing w:after="0" w:line="22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Osoba ta przekaże Ci informacje na temat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  <w:gridSpan w:val="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Roczny wpływ na koszty</w:t>
            </w: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Różne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3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 koszty i ich wpływ na Twoją inwestycję.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4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Łączne koszty standardowych opcji na akcje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0" w:type="dxa"/>
            <w:vAlign w:val="bottom"/>
            <w:tcBorders>
              <w:bottom w:val="single" w:sz="8" w:color="auto"/>
              <w:right w:val="single" w:sz="8" w:color="DADADA"/>
            </w:tcBorders>
            <w:gridSpan w:val="11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b w:val="1"/>
                <w:bCs w:val="1"/>
                <w:color w:val="auto"/>
              </w:rPr>
              <w:t xml:space="preserve">Struktura kosztów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zależą od wielu czynników.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Składka opcyjna wynosi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10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Jednorazowe koszty przy wjeździe lub wyjeździe</w:t>
            </w: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(początkowa)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4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koszt poniesiony przez posiadacza na rzecz autora.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Czynniki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Premia (określona przez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mające istotny wpływ na składkę, obejmują, ale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wejścia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 w:line="18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kupującego i sprzedającego),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3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Komisja (ustalona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nie są ograniczone do wartości bazowej kapitału własnego, czasu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3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otwarcie (wejście)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przez biuro maklerskie)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1"/>
                <w:szCs w:val="1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do czasu wygaśnięcia opcji i ceny wykonania.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 w:line="20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wyjścia (na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8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Inwestowanie w opcje wiąże się z dodatkowymi kosztami, które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Transakcja —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7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3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uwzględniają kwestie podatkowe, koszty transakcji oraz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zamykanie (wyjście)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Premium, Komisja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2"/>
        </w:trPr>
        <w:tc>
          <w:tcPr>
            <w:tcW w:w="100" w:type="dxa"/>
            <w:vAlign w:val="bottom"/>
            <w:vMerge w:val="restart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wymogi dotyczące depozytu zabezpieczającego, które mogą mieć istotny wpływ na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DADADA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shd w:val="clear" w:color="auto" w:fill="DADADA"/>
          </w:tcPr>
          <w:p>
            <w:pPr xmlns:w="http://schemas.openxmlformats.org/wordprocessingml/2006/main">
              <w:spacing w:after="0" w:line="20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Kwota (w dowolnej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540" w:type="dxa"/>
            <w:vAlign w:val="bottom"/>
            <w:gridSpan w:val="4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Bieżące</w:t>
            </w:r>
          </w:p>
        </w:tc>
        <w:tc>
          <w:tcPr>
            <w:tcW w:w="22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czasu)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8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zysku lub straty.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Na koszty transakcyjne składają się przede wszystkim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</w:tcBorders>
            <w:gridSpan w:val="4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  <w:shd w:val="clear" w:color="auto" w:fill="DADADA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Zarządzanie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2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prowizje (nakładane przy otwieraniu, zamykaniu,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0"/>
                <w:szCs w:val="1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 w:line="218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i inne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wykonania i cesji), ale może również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1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administracyjne lub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ma zarządzania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6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</w:tcPr>
          <w:p>
            <w:pPr xmlns:w="http://schemas.openxmlformats.org/wordprocessingml/2006/main">
              <w:spacing w:after="0" w:line="20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obejmują koszty marży i odsetek.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Marża oznacza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operacyjne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 xmlns:w="http://schemas.openxmlformats.org/wordprocessingml/2006/main">
              <w:spacing w:after="0" w:line="18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w w:val="85"/>
              </w:rPr>
              <w:t xml:space="preserve">opłata</w:t>
            </w:r>
          </w:p>
        </w:tc>
        <w:tc>
          <w:tcPr>
            <w:tcW w:w="340" w:type="dxa"/>
            <w:vAlign w:val="bottom"/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auto"/>
              <w:right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</w:tcPr>
          <w:p>
            <w:pPr xmlns:w="http://schemas.openxmlformats.org/wordprocessingml/2006/main">
              <w:spacing w:after="0" w:line="24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aktywa, które muszą być zdeponowane przez emitenta w jego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 w:line="193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Depozyt zabezpieczający (wymagania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jako zabezpieczenie zobowiązania, jako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8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mogą ulec zmianie, oraz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</w:tcPr>
          <w:p>
            <w:pPr xmlns:w="http://schemas.openxmlformats.org/wordprocessingml/2006/main">
              <w:spacing w:after="0" w:line="16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Zmienna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Koszty transakcyjne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może się różnić w zależności od rodzaju pośrednictwa)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 w:line="206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(w toku)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6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celu kupna lub sprzedaży odsetek bazowych lub zapłaty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  <w:vMerge w:val="restart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3"/>
        </w:trPr>
        <w:tc>
          <w:tcPr>
            <w:tcW w:w="100" w:type="dxa"/>
            <w:vAlign w:val="bottom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480" w:type="dxa"/>
            <w:vAlign w:val="bottom"/>
            <w:gridSpan w:val="10"/>
            <w:vMerge w:val="restart"/>
            <w:shd w:val="clear" w:color="auto" w:fill="DADADA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  <w:highlight w:val="lightGray"/>
              </w:rPr>
              <w:t xml:space="preserve">Koszty uboczne ponoszone na określonych warunkach</w:t>
            </w:r>
          </w:p>
        </w:tc>
        <w:tc>
          <w:tcPr>
            <w:tcW w:w="12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8"/>
                <w:szCs w:val="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7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kwotę rozliczenia gotówkowego.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przypadku wykonania opcji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480" w:type="dxa"/>
            <w:vAlign w:val="bottom"/>
            <w:tcBorders>
              <w:bottom w:val="single" w:sz="8" w:color="auto"/>
            </w:tcBorders>
            <w:gridSpan w:val="10"/>
            <w:vMerge w:val="continue"/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DADADA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5100" w:type="dxa"/>
            <w:vAlign w:val="bottom"/>
            <w:tcBorders>
              <w:right w:val="single" w:sz="8" w:color="auto"/>
            </w:tcBorders>
            <w:gridSpan w:val="6"/>
            <w:vMerge w:val="continue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right w:val="single" w:sz="8" w:color="auto"/>
            </w:tcBorders>
            <w:gridSpan w:val="3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Opłaty za wyniki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right w:val="single" w:sz="8" w:color="auto"/>
            </w:tcBorders>
            <w:gridSpan w:val="7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Brak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right w:val="single" w:sz="8" w:color="auto"/>
            </w:tcBorders>
            <w:gridSpan w:val="2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18"/>
                <w:szCs w:val="18"/>
                <w:color w:val="auto"/>
              </w:rPr>
              <w:t xml:space="preserve">NIE DOTYCZY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6"/>
                <w:szCs w:val="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spacing w:after="0" w:line="214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 przypisane, pisarz może ponieść dodatkowe koszty.</w:t>
            </w: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6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4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06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  <w:right w:val="single" w:sz="8" w:color="auto"/>
            </w:tcBorders>
            <w:gridSpan w:val="2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04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odróżnieniu od kosztów dla inwestorów, OCC pobiera opłaty związane z rozliczeniem tego produktu na rzecz członków rozliczających, ale nie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8800" w:type="dxa"/>
            <w:vAlign w:val="bottom"/>
            <w:gridSpan w:val="18"/>
          </w:tcPr>
          <w:p>
            <w:pPr xmlns:w="http://schemas.openxmlformats.org/wordprocessingml/2006/main">
              <w:spacing w:after="0" w:line="255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bezpośrednio do Ciebie: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 https://www.theocc.com/company-information/schedule-of-fees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top w:val="single" w:sz="8" w:color="0563C1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  <w:tcBorders>
              <w:top w:val="single" w:sz="8" w:color="0563C1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40" w:type="dxa"/>
            <w:vAlign w:val="bottom"/>
            <w:tcBorders>
              <w:top w:val="single" w:sz="8" w:color="0563C1"/>
              <w:bottom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40" w:type="dxa"/>
            <w:vAlign w:val="bottom"/>
            <w:tcBorders>
              <w:top w:val="single" w:sz="8" w:color="0563C1"/>
              <w:bottom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tcBorders>
              <w:top w:val="single" w:sz="8" w:color="0563C1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top w:val="single" w:sz="8" w:color="0563C1"/>
              <w:bottom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0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2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800" w:type="dxa"/>
            <w:vAlign w:val="bottom"/>
            <w:gridSpan w:val="18"/>
          </w:tcPr>
          <w:p>
            <w:pPr xmlns:w="http://schemas.openxmlformats.org/wordprocessingml/2006/main">
              <w:spacing w:after="0" w:line="23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 długo mam go trzymać i czy mogę wcześnie wyjść z transakcji (czy mogę wcześniej wyjąć pieniądze)?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Zalecany okres przechowywania: Brak.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Decyzja o skorzystaniu z opcji jest dla posiadacza kluczową decyzją inwestycyjną,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podobnie jak decyzja posiadaczy opcji i emitentów o zamknięciu istniejącej pozycji opcyjnej przed opcją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wygasa lub jest wykonywana i przypisywana poprzez wykonanie transakcji zamknięcia.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 związku z tym inwestorzy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odpowiedzialność za ustalenie, czy i kiedy powinni wykonać umowę (umowy) opcyjną lub czy zamknąć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6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istniejąca pozycja opcyjna.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Inwestorzy, którzy zamykają istniejącą pozycję opcyjną, zrzekają się wszelkich późniejszych zysków lub strat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Skojarzony z opcją.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Wszystkie opcje mają datę wygaśnięcia, po której opcja nie będzie miała wartości i będzie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Już nie istnieje.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Posiadacze opcji w stylu amerykańskim, którzy chcą skorzystać przed upływem terminu ważności, mogą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8800" w:type="dxa"/>
            <w:vAlign w:val="bottom"/>
            <w:gridSpan w:val="18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 ten sposób, udzielając instrukcji wykonania zlecenia swojemu brokerowi, zgodnie z procesem maklerskim.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"/>
        </w:trPr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320" w:type="dxa"/>
            <w:vAlign w:val="bottom"/>
            <w:tcBorders>
              <w:bottom w:val="single" w:sz="8" w:color="auto"/>
            </w:tcBorders>
            <w:gridSpan w:val="2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22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 w:line="22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b w:val="1"/>
                <w:bCs w:val="1"/>
                <w:color w:val="auto"/>
              </w:rPr>
              <w:t xml:space="preserve">Jak mogę złożyć skargę?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Inwestorzy mogą kontaktować się z OCC pod adresem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 investorservices@theocc.com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.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 Inwestorzy mogą również złożyć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4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640" w:type="dxa"/>
            <w:vAlign w:val="bottom"/>
            <w:gridSpan w:val="3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760" w:type="dxa"/>
            <w:vAlign w:val="bottom"/>
            <w:gridSpan w:val="5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60" w:type="dxa"/>
            <w:vAlign w:val="bottom"/>
            <w:gridSpan w:val="6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320" w:type="dxa"/>
            <w:vAlign w:val="bottom"/>
            <w:gridSpan w:val="21"/>
          </w:tcPr>
          <w:p>
            <w:pPr xmlns:w="http://schemas.openxmlformats.org/wordprocessingml/2006/main">
              <w:spacing w:after="0" w:line="24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skarga do Urzędu Regulacji Sektora Finansowego ("FINRA") (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http://www.finra.org/investors/investor-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580" w:type="dxa"/>
            <w:vAlign w:val="bottom"/>
            <w:gridSpan w:val="5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0" w:type="dxa"/>
            <w:vAlign w:val="bottom"/>
            <w:gridSpan w:val="2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2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6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8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20" w:type="dxa"/>
            <w:vAlign w:val="bottom"/>
            <w:tcBorders>
              <w:right w:val="single" w:sz="8" w:color="0563C1"/>
            </w:tcBorders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6740" w:type="dxa"/>
            <w:vAlign w:val="bottom"/>
            <w:gridSpan w:val="11"/>
          </w:tcPr>
          <w:p>
            <w:pPr xmlns:w="http://schemas.openxmlformats.org/wordprocessingml/2006/main">
              <w:spacing w:after="0" w:line="249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centrum skarg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00000"/>
              </w:rPr>
              <w:t xml:space="preserve">) lub SEC (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563C1"/>
              </w:rPr>
              <w:t xml:space="preserve">https://www.sec.gov/oiea/Complaint.html</w:t>
            </w: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000000"/>
              </w:rPr>
              <w:t xml:space="preserve">).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60" w:type="dxa"/>
            <w:vAlign w:val="bottom"/>
            <w:gridSpan w:val="2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880" w:type="dxa"/>
            <w:vAlign w:val="bottom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960" w:type="dxa"/>
            <w:vAlign w:val="bottom"/>
            <w:gridSpan w:val="5"/>
            <w:shd w:val="clear" w:color="auto" w:fill="0563C1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260" w:type="dxa"/>
            <w:vAlign w:val="bottom"/>
            <w:gridSpan w:val="9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3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ind w:left="120"/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Centrum Reklamacji Inwestorów FINRA</w:t>
            </w:r>
          </w:p>
        </w:tc>
        <w:tc>
          <w:tcPr>
            <w:tcW w:w="4220" w:type="dxa"/>
            <w:vAlign w:val="bottom"/>
            <w:gridSpan w:val="14"/>
          </w:tcPr>
          <w:p>
            <w:pPr xmlns:w="http://schemas.openxmlformats.org/wordprocessingml/2006/main">
              <w:spacing w:after="0" w:line="262" w:lineRule="exact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Komisja Papierów Wartościowych i Giełd USA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9509 Key West Avenue</w:t>
            </w:r>
          </w:p>
        </w:tc>
        <w:tc>
          <w:tcPr>
            <w:tcW w:w="4220" w:type="dxa"/>
            <w:vAlign w:val="bottom"/>
            <w:gridSpan w:val="14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Biuro Edukacji i Rzecznictwa Inwestorskiego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Rockville, MD 20850-3329</w:t>
            </w:r>
          </w:p>
        </w:tc>
        <w:tc>
          <w:tcPr>
            <w:tcW w:w="2160" w:type="dxa"/>
            <w:vAlign w:val="bottom"/>
            <w:gridSpan w:val="7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100 F Street, Gdzie Indziej Niewymienione.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0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9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4580" w:type="dxa"/>
            <w:vAlign w:val="bottom"/>
            <w:gridSpan w:val="4"/>
          </w:tcPr>
          <w:p>
            <w:pPr xmlns:w="http://schemas.openxmlformats.org/wordprocessingml/2006/main"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Telefon: (240) 386-4357 Faks: (866) 397-3290</w:t>
            </w:r>
          </w:p>
        </w:tc>
        <w:tc>
          <w:tcPr>
            <w:tcW w:w="5740" w:type="dxa"/>
            <w:vAlign w:val="bottom"/>
            <w:gridSpan w:val="17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Calibri" w:cs="Calibri" w:eastAsia="Calibri" w:hAnsi="Calibri"/>
                <w:sz w:val="22"/>
                <w:szCs w:val="22"/>
                <w:color w:val="auto"/>
              </w:rPr>
              <w:t xml:space="preserve">Waszyngton, DC 20549-0213 Faks: (202) 772-9295</w:t>
            </w:r>
          </w:p>
        </w:tc>
        <w:tc>
          <w:tcPr>
            <w:tcW w:w="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16510</wp:posOffset>
                </wp:positionV>
                <wp:extent cx="669036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036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.8pt,1.3pt" to="532.6pt,1.3pt" o:allowincell="f" strokecolor="#000000" strokeweight="0.4799pt"/>
            </w:pict>
          </mc:Fallback>
        </mc:AlternateContent>
      </w: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©2023 The Options Clearing Corporation.</w:t>
      </w:r>
      <w:r>
        <w:rPr xmlns:w="http://schemas.openxmlformats.org/wordprocessingml/2006/main">
          <w:rFonts w:ascii="Calibri" w:cs="Calibri" w:eastAsia="Calibri" w:hAnsi="Calibri"/>
          <w:sz w:val="22"/>
          <w:szCs w:val="22"/>
          <w:color w:val="auto"/>
        </w:rPr>
        <w:t xml:space="preserve"> Wszelkie prawa zastrzeżone.</w:t>
      </w:r>
    </w:p>
    <w:sectPr>
      <w:pgSz w:w="12240" w:h="15840" w:orient="portrait"/>
      <w:cols w:equalWidth="0" w:num="1">
        <w:col w:w="10660"/>
      </w:cols>
      <w:pgMar w:left="860" w:top="774" w:right="720" w:bottom="83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auto"/>
    <w:pitch w:val="variable"/>
    <w:sig w:usb0="00000000" w:usb1="0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w:abstractNumId="0">
    <w:nsid w:val="282A6486"/>
    <w:multiLevelType w:val="hybridMultilevel"/>
    <w:lvl w:ilvl="0">
      <w:lvlJc w:val="left"/>
      <w:lvlText w:val="·"/>
      <w:numFmt w:val="bullet"/>
      <w:start w:val="1"/>
    </w:lvl>
  </w:abstractNum>
  <w:abstractNum w:abstractNumId="1">
    <w:nsid w:val="70546560"/>
    <w:multiLevelType w:val="hybridMultilevel"/>
    <w:lvl w:ilvl="0">
      <w:lvlJc w:val="left"/>
      <w:lvlText w:val="·"/>
      <w:numFmt w:val="bullet"/>
      <w:start w:val="1"/>
    </w:lvl>
  </w:abstractNum>
  <w:abstractNum w:abstractNumId="2">
    <w:nsid w:val="1AB472C0"/>
    <w:multiLevelType w:val="hybridMultilevel"/>
    <w:lvl w:ilvl="0">
      <w:lvlJc w:val="left"/>
      <w:lvlText w:val="·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jpeg"/><Relationship Id="rId14" Type="http://schemas.openxmlformats.org/officeDocument/2006/relationships/image" Target="media/image3.png"/><Relationship Id="rId15" Type="http://schemas.openxmlformats.org/officeDocument/2006/relationships/image" Target="media/image4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2024-05-21T09:37:35Z</dcterms:created>
  <dcterms:modified xsi:type="dcterms:W3CDTF">2024-05-21T09:37:35Z</dcterms:modified>
</cp:coreProperties>
</file>