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49657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496570"/>
                        </a:xfrm>
                        <a:prstGeom prst="rect">
                          <a:avLst/>
                        </a:prstGeom>
                        <a:solidFill>
                          <a:srgbClr val="1F4E79"/>
                        </a:solidFill>
                      </wps:spPr>
                      <wps:bodyPr/>
                    </wps:wsp>
                  </a:graphicData>
                </a:graphic>
              </wp:anchor>
            </w:drawing>
          </mc:Choice>
          <mc:Fallback>
            <w:pict>
              <v:rect xmlns:v="urn:schemas-microsoft-com:vml" id="Shape 1" o:spid="_x0000_s1026" style="position:absolute;margin-left:42.1pt;margin-top:36.5pt;width:530.8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1F4E79"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582295</wp:posOffset>
                </wp:positionH>
                <wp:positionV relativeFrom="page">
                  <wp:posOffset>463550</wp:posOffset>
                </wp:positionV>
                <wp:extent cx="6645910" cy="49657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645910" cy="496570"/>
                        </a:xfrm>
                        <a:prstGeom prst="rect">
                          <a:avLst/>
                        </a:prstGeom>
                        <a:solidFill>
                          <a:srgbClr val="000000"/>
                        </a:solidFill>
                      </wps:spPr>
                      <wps:bodyPr/>
                    </wps:wsp>
                  </a:graphicData>
                </a:graphic>
              </wp:anchor>
            </w:drawing>
          </mc:Choice>
          <mc:Fallback>
            <w:pict>
              <v:rect xmlns:v="urn:schemas-microsoft-com:vml" id="Shape 2" o:spid="_x0000_s1027" style="position:absolute;margin-left:45.85pt;margin-top:36.5pt;width:523.3pt;height:39.1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000000" stroked="f">
                <w10:wrap xmlns:w10="urn:schemas-microsoft-com:office:word" anchorx="page" anchory="page"/>
              </v:rect>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962660</wp:posOffset>
                </wp:positionV>
                <wp:extent cx="6753225" cy="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75.8pt" to="573.35pt,75.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1837690</wp:posOffset>
                </wp:positionV>
                <wp:extent cx="6753225" cy="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144.7pt" to="573.35pt,144.7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3052445</wp:posOffset>
                </wp:positionV>
                <wp:extent cx="6753225" cy="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240.35pt" to="573.35pt,240.3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3911600</wp:posOffset>
                </wp:positionV>
                <wp:extent cx="6753225" cy="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08pt" to="573.35pt,308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33205"/>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133205"/>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33205"/>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5.15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32"/>
          <w:szCs w:val="32"/>
          <w:color w:val="FFFFFF"/>
        </w:rPr>
        <w:t xml:space="preserve">Kluczowe informacje</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32"/>
          <w:szCs w:val="32"/>
          <w:color w:val="FFFFFF"/>
        </w:rPr>
        <w:t xml:space="preserve">Dokument - Opcje Na Indeks Standaryzowany (Krótka Oferta)</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25400</wp:posOffset>
                </wp:positionV>
                <wp:extent cx="6740525" cy="86868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868680"/>
                        </a:xfrm>
                        <a:prstGeom prst="rect">
                          <a:avLst/>
                        </a:prstGeom>
                        <a:solidFill>
                          <a:srgbClr val="9CC2E5"/>
                        </a:solidFill>
                      </wps:spPr>
                      <wps:bodyPr/>
                    </wps:wsp>
                  </a:graphicData>
                </a:graphic>
              </wp:anchor>
            </w:drawing>
          </mc:Choice>
          <mc:Fallback>
            <w:pict>
              <v:rect id="Shape 10" o:spid="_x0000_s1035" style="position:absolute;margin-left:-4.8499pt;margin-top:2pt;width:530.75pt;height:68.4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9CC2E5"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Przeznaczenie</w:t>
      </w:r>
    </w:p>
    <w:p>
      <w:pPr>
        <w:spacing w:after="0" w:line="68" w:lineRule="exact"/>
        <w:rPr>
          <w:sz w:val="24"/>
          <w:szCs w:val="24"/>
          <w:color w:val="auto"/>
        </w:rPr>
      </w:pPr>
    </w:p>
    <w:p>
      <w:pPr xmlns:w="http://schemas.openxmlformats.org/wordprocessingml/2006/main">
        <w:ind w:right="220"/>
        <w:spacing w:after="0" w:line="225" w:lineRule="auto"/>
        <w:rPr>
          <w:sz w:val="20"/>
          <w:szCs w:val="20"/>
          <w:color w:val="auto"/>
        </w:rPr>
      </w:pPr>
      <w:r>
        <w:rPr xmlns:w="http://schemas.openxmlformats.org/wordprocessingml/2006/main">
          <w:rFonts w:ascii="Calibri" w:cs="Calibri" w:eastAsia="Calibri" w:hAnsi="Calibri"/>
          <w:sz w:val="22"/>
          <w:szCs w:val="22"/>
          <w:color w:val="auto"/>
        </w:rPr>
        <w:t xml:space="preserve">Niniejszy dokument zawiera kluczowe informacje na temat tego produktu inwestycyjnego.</w:t>
      </w:r>
      <w:r>
        <w:rPr xmlns:w="http://schemas.openxmlformats.org/wordprocessingml/2006/main">
          <w:rFonts w:ascii="Calibri" w:cs="Calibri" w:eastAsia="Calibri" w:hAnsi="Calibri"/>
          <w:sz w:val="22"/>
          <w:szCs w:val="22"/>
          <w:color w:val="auto"/>
        </w:rPr>
        <w:t xml:space="preserve"> Nie jest to materiał marketingowy.</w:t>
      </w:r>
      <w:r>
        <w:rPr xmlns:w="http://schemas.openxmlformats.org/wordprocessingml/2006/main">
          <w:rFonts w:ascii="Calibri" w:cs="Calibri" w:eastAsia="Calibri" w:hAnsi="Calibri"/>
          <w:sz w:val="22"/>
          <w:szCs w:val="22"/>
          <w:color w:val="auto"/>
        </w:rPr>
        <w:t xml:space="preserve"> Informacje te są wymagane przez prawo, aby pomóc Ci zrozumieć charakter, ryzyko, koszty, potencjalne zyski i straty tego produktu oraz aby pomóc Ci porównać go z innymi produktami.</w:t>
      </w:r>
      <w:r>
        <w:rPr xmlns:w="http://schemas.openxmlformats.org/wordprocessingml/2006/main">
          <w:rFonts w:ascii="Calibri" w:cs="Calibri" w:eastAsia="Calibri" w:hAnsi="Calibri"/>
          <w:sz w:val="22"/>
          <w:szCs w:val="22"/>
          <w:color w:val="auto"/>
        </w:rPr>
        <w:t xml:space="preserve"> Jest to dokument wyłącznie angielski, nieupoważniony do tłumaczenia na inny język.</w:t>
      </w:r>
    </w:p>
    <w:p>
      <w:pPr>
        <w:spacing w:after="0" w:line="10"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Produkt</w:t>
      </w:r>
    </w:p>
    <w:p>
      <w:pPr>
        <w:spacing w:after="0" w:line="68" w:lineRule="exact"/>
        <w:rPr>
          <w:sz w:val="24"/>
          <w:szCs w:val="24"/>
          <w:color w:val="auto"/>
        </w:rPr>
      </w:pPr>
    </w:p>
    <w:p>
      <w:pPr xmlns:w="http://schemas.openxmlformats.org/wordprocessingml/2006/main">
        <w:spacing w:after="0" w:line="229"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Opcje na amerykański indeks standardowy</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Options Clearing Corporation ("OCC") dostarcza niniejszy dokument na podstawie Rozporządzenia UE nr 1286/2014 dla standardowych opcji indeksowych (a/k/a "notowane opcje").</w:t>
      </w:r>
      <w:r>
        <w:rPr xmlns:w="http://schemas.openxmlformats.org/wordprocessingml/2006/main">
          <w:rFonts w:ascii="Calibri" w:cs="Calibri" w:eastAsia="Calibri" w:hAnsi="Calibri"/>
          <w:sz w:val="22"/>
          <w:szCs w:val="22"/>
          <w:color w:val="auto"/>
        </w:rPr>
        <w:t xml:space="preserve"> Standardowe opcje indeksowe są notowane i znajdują się w obrocie na amerykańskich giełdach opcji zarejestrowanych w amerykańskiej Komisji Papierów Wartościowych i Giełd ("SEC") i są emitowane, rozliczane i rozliczane przez OCC, agencję rozliczeniową zarejestrowaną w SEC.</w:t>
      </w:r>
      <w:r>
        <w:rPr xmlns:w="http://schemas.openxmlformats.org/wordprocessingml/2006/main">
          <w:rFonts w:ascii="Calibri" w:cs="Calibri" w:eastAsia="Calibri" w:hAnsi="Calibri"/>
          <w:sz w:val="22"/>
          <w:szCs w:val="22"/>
          <w:color w:val="auto"/>
        </w:rPr>
        <w:t xml:space="preserve"> Więcej informacji, w tym dane kontaktowe amerykańskich giełd opcji, inwestorzy mogą znaleźć na stronie internetowej OCC pod adresem </w:t>
      </w:r>
      <w:r>
        <w:rPr xmlns:w="http://schemas.openxmlformats.org/wordprocessingml/2006/main">
          <w:rFonts w:ascii="Calibri" w:cs="Calibri" w:eastAsia="Calibri" w:hAnsi="Calibri"/>
          <w:sz w:val="22"/>
          <w:szCs w:val="22"/>
          <w:u w:val="single" w:color="auto"/>
          <w:color w:val="0563C1"/>
        </w:rPr>
        <w:t xml:space="preserve">www.theocc.com</w:t>
      </w:r>
      <w:r>
        <w:rPr xmlns:w="http://schemas.openxmlformats.org/wordprocessingml/2006/main">
          <w:rFonts w:ascii="Calibri" w:cs="Calibri" w:eastAsia="Calibri" w:hAnsi="Calibri"/>
          <w:sz w:val="22"/>
          <w:szCs w:val="22"/>
          <w:color w:val="auto"/>
        </w:rPr>
        <w:t xml:space="preserve"> lub skontaktować się z OCC pod numerem 1-312-322-6200.</w:t>
      </w:r>
      <w:r>
        <w:rPr xmlns:w="http://schemas.openxmlformats.org/wordprocessingml/2006/main">
          <w:rFonts w:ascii="Calibri" w:cs="Calibri" w:eastAsia="Calibri" w:hAnsi="Calibri"/>
          <w:sz w:val="22"/>
          <w:szCs w:val="22"/>
          <w:color w:val="auto"/>
        </w:rPr>
        <w:t xml:space="preserve"> Zaktualizowany 28 grudnia 2022 i 20 kwietnia 2023.</w:t>
      </w:r>
    </w:p>
    <w:p>
      <w:pPr>
        <w:spacing w:after="0" w:line="83" w:lineRule="exact"/>
        <w:rPr>
          <w:sz w:val="24"/>
          <w:szCs w:val="24"/>
          <w:color w:val="auto"/>
        </w:rPr>
      </w:pPr>
    </w:p>
    <w:p>
      <w:pPr xmlns:w="http://schemas.openxmlformats.org/wordprocessingml/2006/main">
        <w:ind w:right="60"/>
        <w:spacing w:after="0" w:line="228" w:lineRule="auto"/>
        <w:rPr>
          <w:sz w:val="20"/>
          <w:szCs w:val="20"/>
          <w:color w:val="auto"/>
        </w:rPr>
      </w:pPr>
      <w:r>
        <w:rPr xmlns:w="http://schemas.openxmlformats.org/wordprocessingml/2006/main">
          <w:rFonts w:ascii="Calibri" w:cs="Calibri" w:eastAsia="Calibri" w:hAnsi="Calibri"/>
          <w:sz w:val="22"/>
          <w:szCs w:val="22"/>
          <w:color w:val="auto"/>
        </w:rPr>
        <w:t xml:space="preserve">Alert.</w:t>
      </w:r>
      <w:r>
        <w:rPr xmlns:w="http://schemas.openxmlformats.org/wordprocessingml/2006/main">
          <w:rFonts w:ascii="Calibri" w:cs="Calibri" w:eastAsia="Calibri" w:hAnsi="Calibri"/>
          <w:sz w:val="22"/>
          <w:szCs w:val="22"/>
          <w:color w:val="auto"/>
        </w:rPr>
        <w:t xml:space="preserve"> </w:t>
      </w:r>
      <w:r>
        <w:rPr xmlns:w="http://schemas.openxmlformats.org/wordprocessingml/2006/main">
          <w:rFonts w:ascii="Calibri" w:cs="Calibri" w:eastAsia="Calibri" w:hAnsi="Calibri"/>
          <w:sz w:val="22"/>
          <w:szCs w:val="22"/>
          <w:b w:val="1"/>
          <w:bCs w:val="1"/>
          <w:color w:val="auto"/>
        </w:rPr>
        <w:t xml:space="preserve">Zamierzasz kupić produkt, który nie jest prosty i może być trudny do zrozumienia.</w:t>
      </w:r>
      <w:r>
        <w:rPr xmlns:w="http://schemas.openxmlformats.org/wordprocessingml/2006/main">
          <w:rFonts w:ascii="Calibri" w:cs="Calibri" w:eastAsia="Calibri" w:hAnsi="Calibri"/>
          <w:sz w:val="22"/>
          <w:szCs w:val="22"/>
          <w:color w:val="auto"/>
        </w:rPr>
        <w:t xml:space="preserve"> Inwestorzy nie powinni dokonywać obrotu opcjami na indeks standaryzowany, dopóki nie przeczytają i nie zrozumieją niniejszego dokumentu i związanego z nim dokumentu ujawniającego informacje na temat ryzyka, który jest przedkładany SEC, </w:t>
      </w:r>
      <w:r>
        <w:rPr xmlns:w="http://schemas.openxmlformats.org/wordprocessingml/2006/main">
          <w:rFonts w:ascii="Calibri" w:cs="Calibri" w:eastAsia="Calibri" w:hAnsi="Calibri"/>
          <w:sz w:val="22"/>
          <w:szCs w:val="22"/>
          <w:u w:val="single" w:color="auto"/>
          <w:color w:val="auto"/>
        </w:rPr>
        <w:t xml:space="preserve">Charakterystyka i ryzyko opcji standaryzowanych</w:t>
      </w:r>
      <w:r>
        <w:rPr xmlns:w="http://schemas.openxmlformats.org/wordprocessingml/2006/main">
          <w:rFonts w:ascii="Calibri" w:cs="Calibri" w:eastAsia="Calibri" w:hAnsi="Calibri"/>
          <w:sz w:val="22"/>
          <w:szCs w:val="22"/>
          <w:color w:val="auto"/>
        </w:rPr>
        <w:t xml:space="preserve">, zwanego również dokumentem ujawniającym informacje na temat opcji ("ODD")</w:t>
      </w:r>
      <w:r>
        <w:rPr xmlns:w="http://schemas.openxmlformats.org/wordprocessingml/2006/main">
          <w:rFonts w:ascii="Calibri" w:cs="Calibri" w:eastAsia="Calibri" w:hAnsi="Calibri"/>
          <w:sz w:val="22"/>
          <w:szCs w:val="22"/>
          <w:i w:val="1"/>
          <w:iCs w:val="1"/>
          <w:color w:val="auto"/>
        </w:rPr>
        <w:t xml:space="preserve">.</w:t>
      </w:r>
      <w:r>
        <w:rPr xmlns:w="http://schemas.openxmlformats.org/wordprocessingml/2006/main">
          <w:rFonts w:ascii="Calibri" w:cs="Calibri" w:eastAsia="Calibri" w:hAnsi="Calibri"/>
          <w:sz w:val="22"/>
          <w:szCs w:val="22"/>
          <w:color w:val="auto"/>
        </w:rPr>
        <w:t xml:space="preserve"> Ujawnienia w niniejszym dokumencie należy interpretować w sposób zgodny z ODD, </w:t>
      </w:r>
      <w:r>
        <w:rPr xmlns:w="http://schemas.openxmlformats.org/wordprocessingml/2006/main">
          <w:rFonts w:ascii="Calibri" w:cs="Calibri" w:eastAsia="Calibri" w:hAnsi="Calibri"/>
          <w:sz w:val="22"/>
          <w:szCs w:val="22"/>
          <w:u w:val="single" w:color="auto"/>
          <w:color w:val="0563C1"/>
        </w:rPr>
        <w:t xml:space="preserve">https://www.theocc.com/components/docs/riskstoc.pdf</w:t>
      </w:r>
      <w:r>
        <w:rPr xmlns:w="http://schemas.openxmlformats.org/wordprocessingml/2006/main">
          <w:rFonts w:ascii="Calibri" w:cs="Calibri" w:eastAsia="Calibri" w:hAnsi="Calibri"/>
          <w:sz w:val="22"/>
          <w:szCs w:val="22"/>
          <w:color w:val="auto"/>
        </w:rPr>
        <w:t xml:space="preserve">.</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-61595</wp:posOffset>
                </wp:positionH>
                <wp:positionV relativeFrom="paragraph">
                  <wp:posOffset>20955</wp:posOffset>
                </wp:positionV>
                <wp:extent cx="6740525" cy="566801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40525" cy="5668010"/>
                        </a:xfrm>
                        <a:prstGeom prst="rect">
                          <a:avLst/>
                        </a:prstGeom>
                        <a:solidFill>
                          <a:srgbClr val="BDD6EE"/>
                        </a:solidFill>
                      </wps:spPr>
                      <wps:bodyPr/>
                    </wps:wsp>
                  </a:graphicData>
                </a:graphic>
              </wp:anchor>
            </w:drawing>
          </mc:Choice>
          <mc:Fallback>
            <w:pict>
              <v:rect id="Shape 11" o:spid="_x0000_s1036" style="position:absolute;margin-left:-4.8499pt;margin-top:1.65pt;width:530.75pt;height:446.3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BDD6EE" stroked="f"/>
            </w:pict>
          </mc:Fallback>
        </mc:AlternateContent>
      </w: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Co to za produkt?</w:t>
      </w:r>
    </w:p>
    <w:p>
      <w:pPr>
        <w:spacing w:after="0" w:line="1"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Typ</w:t>
      </w:r>
    </w:p>
    <w:p>
      <w:pPr>
        <w:spacing w:after="0" w:line="67" w:lineRule="exact"/>
        <w:rPr>
          <w:sz w:val="24"/>
          <w:szCs w:val="24"/>
          <w:color w:val="auto"/>
        </w:rPr>
      </w:pPr>
    </w:p>
    <w:p>
      <w:pPr xmlns:w="http://schemas.openxmlformats.org/wordprocessingml/2006/main">
        <w:ind w:right="220"/>
        <w:spacing w:after="0" w:line="233" w:lineRule="auto"/>
        <w:rPr>
          <w:sz w:val="20"/>
          <w:szCs w:val="20"/>
          <w:color w:val="auto"/>
        </w:rPr>
      </w:pPr>
      <w:r>
        <w:rPr xmlns:w="http://schemas.openxmlformats.org/wordprocessingml/2006/main">
          <w:rFonts w:ascii="Calibri" w:cs="Calibri" w:eastAsia="Calibri" w:hAnsi="Calibri"/>
          <w:sz w:val="22"/>
          <w:szCs w:val="22"/>
          <w:color w:val="auto"/>
        </w:rPr>
        <w:t xml:space="preserve">Opcja na indeks wystandaryzowany to prawo do nabycia lub zbycia określonej wartości danego indeksu bazowego po ustalonej cenie ("cena realizacji") poprzez skorzystanie z opcji przed upływem terminu jej ważności.</w:t>
      </w:r>
      <w:r>
        <w:rPr xmlns:w="http://schemas.openxmlformats.org/wordprocessingml/2006/main">
          <w:rFonts w:ascii="Calibri" w:cs="Calibri" w:eastAsia="Calibri" w:hAnsi="Calibri"/>
          <w:sz w:val="22"/>
          <w:szCs w:val="22"/>
          <w:color w:val="auto"/>
        </w:rPr>
        <w:t xml:space="preserve"> Indeks jest miarą cen lub innych atrybutów grupy papierów wartościowych lub innych podstawowych udziałów.</w:t>
      </w:r>
      <w:r>
        <w:rPr xmlns:w="http://schemas.openxmlformats.org/wordprocessingml/2006/main">
          <w:rFonts w:ascii="Calibri" w:cs="Calibri" w:eastAsia="Calibri" w:hAnsi="Calibri"/>
          <w:sz w:val="22"/>
          <w:szCs w:val="22"/>
          <w:color w:val="auto"/>
        </w:rPr>
        <w:t xml:space="preserve"> Na przykład indeks może być zaprojektowany tak, aby był reprezentatywny dla cen grupy kapitałowych papierów wartościowych lub aby mierzył przewidywaną zmienność indeksu.</w:t>
      </w:r>
      <w:r>
        <w:rPr xmlns:w="http://schemas.openxmlformats.org/wordprocessingml/2006/main">
          <w:rFonts w:ascii="Calibri" w:cs="Calibri" w:eastAsia="Calibri" w:hAnsi="Calibri"/>
          <w:sz w:val="22"/>
          <w:szCs w:val="22"/>
          <w:color w:val="auto"/>
        </w:rPr>
        <w:t xml:space="preserve"> Indeksy różnią się w sposobie ich obliczania.</w:t>
      </w:r>
      <w:r>
        <w:rPr xmlns:w="http://schemas.openxmlformats.org/wordprocessingml/2006/main">
          <w:rFonts w:ascii="Calibri" w:cs="Calibri" w:eastAsia="Calibri" w:hAnsi="Calibri"/>
          <w:sz w:val="22"/>
          <w:szCs w:val="22"/>
          <w:color w:val="auto"/>
        </w:rPr>
        <w:t xml:space="preserve"> Ponieważ indeks jest reprezentacją wartości lub innych atrybutów grupy papierów wartościowych lub innych udziałów, zakup (lub sprzedaż) standardowej opcji na indeks można rozumieć jako prawo do kupna (lub sprzedaży) wartości, która zmienia się wraz ze zmianą wartości indeksu bazowego.</w:t>
      </w:r>
      <w:r>
        <w:rPr xmlns:w="http://schemas.openxmlformats.org/wordprocessingml/2006/main">
          <w:rFonts w:ascii="Calibri" w:cs="Calibri" w:eastAsia="Calibri" w:hAnsi="Calibri"/>
          <w:sz w:val="22"/>
          <w:szCs w:val="22"/>
          <w:color w:val="auto"/>
        </w:rPr>
        <w:t xml:space="preserve"> Ekspozycja na indeks bazowy ma charakter pośredni, ponieważ wartość opcji pochodzi z wartości indeksu bazowego.</w:t>
      </w:r>
      <w:r>
        <w:rPr xmlns:w="http://schemas.openxmlformats.org/wordprocessingml/2006/main">
          <w:rFonts w:ascii="Calibri" w:cs="Calibri" w:eastAsia="Calibri" w:hAnsi="Calibri"/>
          <w:sz w:val="22"/>
          <w:szCs w:val="22"/>
          <w:color w:val="auto"/>
        </w:rPr>
        <w:t xml:space="preserve"> Daty wygaśnięcia opcji indeksu są różne.</w:t>
      </w:r>
      <w:r>
        <w:rPr xmlns:w="http://schemas.openxmlformats.org/wordprocessingml/2006/main">
          <w:rFonts w:ascii="Calibri" w:cs="Calibri" w:eastAsia="Calibri" w:hAnsi="Calibri"/>
          <w:sz w:val="22"/>
          <w:szCs w:val="22"/>
          <w:color w:val="auto"/>
        </w:rPr>
        <w:t xml:space="preserve"> OCC nie może jednostronnie zakończyć opcji.</w:t>
      </w:r>
    </w:p>
    <w:p>
      <w:pPr>
        <w:spacing w:after="0" w:line="70" w:lineRule="exact"/>
        <w:rPr>
          <w:sz w:val="24"/>
          <w:szCs w:val="24"/>
          <w:color w:val="auto"/>
        </w:rPr>
      </w:pPr>
    </w:p>
    <w:p>
      <w:pPr xmlns:w="http://schemas.openxmlformats.org/wordprocessingml/2006/main">
        <w:ind w:right="1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W pewnych nadzwyczajnych okolicznościach, w których warunki opcji zostaną jednoznacznie uznane za błędne, giełda, na której wykonywana jest transakcja, może jednostronnie wypowiedzieć opcję w określonym terminie po jej wykonaniu.</w:t>
      </w:r>
      <w:r>
        <w:rPr xmlns:w="http://schemas.openxmlformats.org/wordprocessingml/2006/main">
          <w:rFonts w:ascii="Calibri" w:cs="Calibri" w:eastAsia="Calibri" w:hAnsi="Calibri"/>
          <w:sz w:val="22"/>
          <w:szCs w:val="22"/>
          <w:color w:val="auto"/>
        </w:rPr>
        <w:t xml:space="preserve"> Niektóre przypadki, takie jak zmiana składu lub wyliczenie indeksu, mogą skutkować zmianą warunków opcji zgodnie z zasadami OCC, które mogą różnić się od metodologii stosowanej na europejskich rynkach opcji.</w:t>
      </w:r>
    </w:p>
    <w:p>
      <w:pPr>
        <w:spacing w:after="0" w:line="5"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Cele</w:t>
      </w:r>
    </w:p>
    <w:p>
      <w:pPr>
        <w:spacing w:after="0" w:line="67" w:lineRule="exact"/>
        <w:rPr>
          <w:sz w:val="24"/>
          <w:szCs w:val="24"/>
          <w:color w:val="auto"/>
        </w:rPr>
      </w:pPr>
    </w:p>
    <w:p>
      <w:pPr xmlns:w="http://schemas.openxmlformats.org/wordprocessingml/2006/main">
        <w:spacing w:after="0" w:line="235" w:lineRule="auto"/>
        <w:rPr>
          <w:sz w:val="20"/>
          <w:szCs w:val="20"/>
          <w:color w:val="auto"/>
        </w:rPr>
      </w:pPr>
      <w:r>
        <w:rPr xmlns:w="http://schemas.openxmlformats.org/wordprocessingml/2006/main">
          <w:rFonts w:ascii="Calibri" w:cs="Calibri" w:eastAsia="Calibri" w:hAnsi="Calibri"/>
          <w:sz w:val="22"/>
          <w:szCs w:val="22"/>
          <w:color w:val="auto"/>
        </w:rPr>
        <w:t xml:space="preserve">Opcje na indeks standaryzowany rozliczane są w środkach pieniężnych.</w:t>
      </w:r>
      <w:r>
        <w:rPr xmlns:w="http://schemas.openxmlformats.org/wordprocessingml/2006/main">
          <w:rFonts w:ascii="Calibri" w:cs="Calibri" w:eastAsia="Calibri" w:hAnsi="Calibri"/>
          <w:sz w:val="22"/>
          <w:szCs w:val="22"/>
          <w:color w:val="auto"/>
        </w:rPr>
        <w:t xml:space="preserve"> Posiadacz (kupujący) ma prawo do otrzymania płatności gotówkowej od wystawcy (sprzedającego) opcji, jeżeli ustalona wartość indeksu bazowego w momencie realizacji ("wartość rozliczenia realizacji") przekracza (wezwanie) lub jest niższa niż (sprzedaż) cena wykonania opcji.</w:t>
      </w:r>
      <w:r>
        <w:rPr xmlns:w="http://schemas.openxmlformats.org/wordprocessingml/2006/main">
          <w:rFonts w:ascii="Calibri" w:cs="Calibri" w:eastAsia="Calibri" w:hAnsi="Calibri"/>
          <w:sz w:val="22"/>
          <w:szCs w:val="22"/>
          <w:color w:val="auto"/>
        </w:rPr>
        <w:t xml:space="preserve"> Nabycie opcji nie daje jej posiadaczowi prawa do nabycia papierów wartościowych lub innych wartości indeksu i nie zobowiązuje emitenta do ich sprzedaży.</w:t>
      </w:r>
      <w:r>
        <w:rPr xmlns:w="http://schemas.openxmlformats.org/wordprocessingml/2006/main">
          <w:rFonts w:ascii="Calibri" w:cs="Calibri" w:eastAsia="Calibri" w:hAnsi="Calibri"/>
          <w:sz w:val="22"/>
          <w:szCs w:val="22"/>
          <w:color w:val="auto"/>
        </w:rPr>
        <w:t xml:space="preserve"> Posiadaczem opcji jest osoba, która kupuje prawo wynikające z opcji i płaci wystawiającemu bezzwrotną płatność zwaną "premią".</w:t>
      </w:r>
      <w:r>
        <w:rPr xmlns:w="http://schemas.openxmlformats.org/wordprocessingml/2006/main">
          <w:rFonts w:ascii="Calibri" w:cs="Calibri" w:eastAsia="Calibri" w:hAnsi="Calibri"/>
          <w:sz w:val="22"/>
          <w:szCs w:val="22"/>
          <w:color w:val="auto"/>
        </w:rPr>
        <w:t xml:space="preserve"> Scenariusz opcji jest zobowiązany - w przypadku przypisania wykonania opcji - do wykonania zgodnie z warunkami płatności "kwoty rozliczenia realizacji" na rzecz posiadacza opcji, która jest obliczana jako różnica między ceną wykonania opcji a wartością rozliczenia realizacji opcji.</w:t>
      </w:r>
      <w:r>
        <w:rPr xmlns:w="http://schemas.openxmlformats.org/wordprocessingml/2006/main">
          <w:rFonts w:ascii="Calibri" w:cs="Calibri" w:eastAsia="Calibri" w:hAnsi="Calibri"/>
          <w:sz w:val="22"/>
          <w:szCs w:val="22"/>
          <w:color w:val="auto"/>
        </w:rPr>
        <w:t xml:space="preserve"> Posiadacz może skorzystać z opcji typu amerykańskiego w dowolnym momencie przed wygaśnięciem, natomiast opcja typu europejskiego może być wykonywana tylko w określonym okresie przed wygaśnięciem (</w:t>
      </w:r>
      <w:r>
        <w:rPr xmlns:w="http://schemas.openxmlformats.org/wordprocessingml/2006/main">
          <w:rFonts w:ascii="Calibri" w:cs="Calibri" w:eastAsia="Calibri" w:hAnsi="Calibri"/>
          <w:sz w:val="22"/>
          <w:szCs w:val="22"/>
          <w:i w:val="1"/>
          <w:iCs w:val="1"/>
          <w:color w:val="auto"/>
        </w:rPr>
        <w:t xml:space="preserve">np.</w:t>
      </w:r>
      <w:r>
        <w:rPr xmlns:w="http://schemas.openxmlformats.org/wordprocessingml/2006/main">
          <w:rFonts w:ascii="Calibri" w:cs="Calibri" w:eastAsia="Calibri" w:hAnsi="Calibri"/>
          <w:sz w:val="22"/>
          <w:szCs w:val="22"/>
          <w:color w:val="auto"/>
        </w:rPr>
        <w:t xml:space="preserve"> data wygaśnięcia).</w:t>
      </w:r>
      <w:r>
        <w:rPr xmlns:w="http://schemas.openxmlformats.org/wordprocessingml/2006/main">
          <w:rFonts w:ascii="Calibri" w:cs="Calibri" w:eastAsia="Calibri" w:hAnsi="Calibri"/>
          <w:sz w:val="22"/>
          <w:szCs w:val="22"/>
          <w:color w:val="auto"/>
        </w:rPr>
        <w:t xml:space="preserve"> Opcja kupna daje posiadaczowi prawo do uczestniczenia w zyskach na wartości indeksu powyżej ceny wykonania, a opcja sprzedaży daje posiadaczowi prawo do uczestniczenia w spadkach wartości indeksu poniżej ceny wykonania.</w:t>
      </w:r>
      <w:r>
        <w:rPr xmlns:w="http://schemas.openxmlformats.org/wordprocessingml/2006/main">
          <w:rFonts w:ascii="Calibri" w:cs="Calibri" w:eastAsia="Calibri" w:hAnsi="Calibri"/>
          <w:sz w:val="22"/>
          <w:szCs w:val="22"/>
          <w:color w:val="auto"/>
        </w:rPr>
        <w:t xml:space="preserve"> Czynniki wpływające na wartość opcji to cena wykonania opcji, czas do wygaśnięcia opcji oraz wartość indeksu bazowego i jego podatność na wahania cen (zmienność).</w:t>
      </w:r>
    </w:p>
    <w:p>
      <w:pPr>
        <w:spacing w:after="0" w:line="48" w:lineRule="exact"/>
        <w:rPr>
          <w:sz w:val="24"/>
          <w:szCs w:val="24"/>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Zamierzony Inwestor Detaliczny</w:t>
      </w:r>
    </w:p>
    <w:p>
      <w:pPr>
        <w:spacing w:after="0" w:line="67" w:lineRule="exact"/>
        <w:rPr>
          <w:sz w:val="24"/>
          <w:szCs w:val="24"/>
          <w:color w:val="auto"/>
        </w:rPr>
      </w:pPr>
    </w:p>
    <w:p>
      <w:pPr xmlns:w="http://schemas.openxmlformats.org/wordprocessingml/2006/main">
        <w:ind w:right="140"/>
        <w:spacing w:after="0" w:line="209" w:lineRule="auto"/>
        <w:rPr>
          <w:sz w:val="20"/>
          <w:szCs w:val="20"/>
          <w:color w:val="auto"/>
        </w:rPr>
      </w:pPr>
      <w:r>
        <w:rPr xmlns:w="http://schemas.openxmlformats.org/wordprocessingml/2006/main">
          <w:rFonts w:ascii="Calibri" w:cs="Calibri" w:eastAsia="Calibri" w:hAnsi="Calibri"/>
          <w:sz w:val="22"/>
          <w:szCs w:val="22"/>
          <w:color w:val="auto"/>
        </w:rPr>
        <w:t xml:space="preserve">Produkt ten nie jest przeznaczony dla konkretnego rodzaju inwestora ani nie jest przeznaczony do realizacji określonego celu inwestycyjnego lub strategii inwestycyjnej.</w:t>
      </w:r>
      <w:r>
        <w:rPr xmlns:w="http://schemas.openxmlformats.org/wordprocessingml/2006/main">
          <w:rFonts w:ascii="Calibri" w:cs="Calibri" w:eastAsia="Calibri" w:hAnsi="Calibri"/>
          <w:sz w:val="22"/>
          <w:szCs w:val="22"/>
          <w:color w:val="auto"/>
        </w:rPr>
        <w:t xml:space="preserve"> Nie jest on odpowiedni dla wszystkich inwestorów i jest przeznaczony tylko dla inwestorów, którzy posiadają gruntowną wiedzę na temat</w:t>
      </w:r>
    </w:p>
    <w:p>
      <w:pPr>
        <w:spacing w:after="0" w:line="20" w:lineRule="exact"/>
        <w:rPr>
          <w:sz w:val="24"/>
          <w:szCs w:val="24"/>
          <w:color w:val="auto"/>
        </w:rPr>
      </w:pPr>
      <w:r>
        <w:rPr>
          <w:sz w:val="24"/>
          <w:szCs w:val="24"/>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18415</wp:posOffset>
                </wp:positionV>
                <wp:extent cx="6752590" cy="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45pt" to="526.35pt,1.45pt" o:allowincell="f" strokecolor="#000000" strokeweight="0.4799pt"/>
            </w:pict>
          </mc:Fallback>
        </mc:AlternateContent>
      </w:r>
    </w:p>
    <w:p>
      <w:pPr>
        <w:sectPr>
          <w:pgSz w:w="12240" w:h="15840" w:orient="portrait"/>
          <w:cols w:equalWidth="0" w:num="1">
            <w:col w:w="10400"/>
          </w:cols>
          <w:pgMar w:left="940" w:top="699" w:right="900" w:bottom="207" w:gutter="0" w:footer="0" w:header="0"/>
        </w:sectPr>
      </w:pPr>
    </w:p>
    <w:bookmarkStart w:id="1" w:name="page2"/>
    <w:bookmarkEnd w:id="1"/>
    <w:p>
      <w:pPr xmlns:w="http://schemas.openxmlformats.org/wordprocessingml/2006/main">
        <w:ind w:right="36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534670</wp:posOffset>
                </wp:positionH>
                <wp:positionV relativeFrom="page">
                  <wp:posOffset>463550</wp:posOffset>
                </wp:positionV>
                <wp:extent cx="6741160" cy="340995"/>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41160" cy="340995"/>
                        </a:xfrm>
                        <a:prstGeom prst="rect">
                          <a:avLst/>
                        </a:prstGeom>
                        <a:solidFill>
                          <a:srgbClr val="BDD6EE"/>
                        </a:solidFill>
                      </wps:spPr>
                      <wps:bodyPr/>
                    </wps:wsp>
                  </a:graphicData>
                </a:graphic>
              </wp:anchor>
            </w:drawing>
          </mc:Choice>
          <mc:Fallback>
            <w:pict>
              <v:rect xmlns:v="urn:schemas-microsoft-com:vml" id="Shape 13" o:spid="_x0000_s1038" style="position:absolute;margin-left:42.1pt;margin-top:36.5pt;width:530.8pt;height:26.85pt;z-index:-251657728;visibility:visible;mso-wrap-style:square;mso-width-percent:0;mso-height-percent:0;mso-wrap-distance-left:0pt;mso-wrap-distance-top:0;mso-wrap-distance-right:0pt;mso-wrap-distance-bottom:0;mso-position-horizontal:absolute;mso-position-horizontal-relative:page;mso-position-vertical:absolute;mso-position-vertical-relative:page;mso-width-percent:0;mso-height-percent:0;mso-width-relative:page;mso-height-relative:page;v-text-anchor:top" o:allowincell="f" fillcolor="#BDD6EE" stroked="f">
                <w10:wrap xmlns:w10="urn:schemas-microsoft-com:office:word" anchorx="page" anchory="page"/>
              </v:rect>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915416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4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5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915416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915416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56.8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produktu i może ponieść potencjalne straty z nim związane oraz związaną z nim strategię inwestycyjną.</w:t>
      </w:r>
      <w:r>
        <w:rPr xmlns:w="http://schemas.openxmlformats.org/wordprocessingml/2006/main">
          <w:rFonts w:ascii="Calibri" w:cs="Calibri" w:eastAsia="Calibri" w:hAnsi="Calibri"/>
          <w:sz w:val="22"/>
          <w:szCs w:val="22"/>
          <w:color w:val="auto"/>
        </w:rPr>
        <w:t xml:space="preserve"> W przypadku pytań dotyczących odpowiedniości prosimy o kontakt z brokerem lub doradcą inwestycyjnym.</w:t>
      </w:r>
    </w:p>
    <w:p>
      <w:pPr>
        <w:spacing w:after="0" w:line="10"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4"/>
          <w:szCs w:val="24"/>
          <w:b w:val="1"/>
          <w:bCs w:val="1"/>
          <w:color w:val="auto"/>
        </w:rPr>
        <w:t xml:space="preserve">Jakie jest ryzyko i co mogę dostać w zamian?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clrChange>
                        <a:clrFrom>
                          <a:srgbClr val="000000"/>
                        </a:clrFrom>
                        <a:clrTo>
                          <a:srgbClr val="000000">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drawing>
          <wp:anchor simplePos="0" relativeHeight="251657728" behindDoc="1" locked="0" layoutInCell="0" allowOverlap="1">
            <wp:simplePos x="0" y="0"/>
            <wp:positionH relativeFrom="column">
              <wp:posOffset>1062990</wp:posOffset>
            </wp:positionH>
            <wp:positionV relativeFrom="paragraph">
              <wp:posOffset>15875</wp:posOffset>
            </wp:positionV>
            <wp:extent cx="4906010" cy="179959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clrChange>
                        <a:clrFrom>
                          <a:srgbClr val="FFFFFF"/>
                        </a:clrFrom>
                        <a:clrTo>
                          <a:srgbClr val="FFFFFF">
                            <a:alpha val="0"/>
                          </a:srgbClr>
                        </a:clrTo>
                      </a:clrChange>
                      <a:extLst>
                        <a:ext uri="{28A0092B-C50C-407E-A947-70E740481C1C}"/>
                      </a:extLst>
                    </a:blip>
                    <a:srcRect/>
                    <a:stretch>
                      <a:fillRect/>
                    </a:stretch>
                  </pic:blipFill>
                  <pic:spPr bwMode="auto">
                    <a:xfrm>
                      <a:off x="0" y="0"/>
                      <a:ext cx="4906010" cy="17995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6" w:lineRule="exact"/>
        <w:rPr>
          <w:sz w:val="20"/>
          <w:szCs w:val="20"/>
          <w:color w:val="auto"/>
        </w:rPr>
      </w:pPr>
    </w:p>
    <w:p>
      <w:pPr xmlns:w="http://schemas.openxmlformats.org/wordprocessingml/2006/main">
        <w:ind w:left="6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Wskaźnik Ryzyka</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4" w:lineRule="exact"/>
        <w:rPr>
          <w:sz w:val="20"/>
          <w:szCs w:val="20"/>
          <w:color w:val="auto"/>
        </w:rPr>
      </w:pPr>
    </w:p>
    <w:p>
      <w:pPr xmlns:w="http://schemas.openxmlformats.org/wordprocessingml/2006/main">
        <w:ind w:right="40"/>
        <w:spacing w:after="0" w:line="227" w:lineRule="auto"/>
        <w:rPr>
          <w:sz w:val="20"/>
          <w:szCs w:val="20"/>
          <w:color w:val="auto"/>
        </w:rPr>
      </w:pPr>
      <w:r>
        <w:rPr xmlns:w="http://schemas.openxmlformats.org/wordprocessingml/2006/main">
          <w:rFonts w:ascii="Calibri" w:cs="Calibri" w:eastAsia="Calibri" w:hAnsi="Calibri"/>
          <w:sz w:val="22"/>
          <w:szCs w:val="22"/>
          <w:color w:val="auto"/>
        </w:rPr>
        <w:t xml:space="preserve">Podsumowujący wskaźnik ryzyka jest wskazówką dotyczącą poziomu ryzyka tego produktu w porównaniu z innymi produktami.</w:t>
      </w:r>
      <w:r>
        <w:rPr xmlns:w="http://schemas.openxmlformats.org/wordprocessingml/2006/main">
          <w:rFonts w:ascii="Calibri" w:cs="Calibri" w:eastAsia="Calibri" w:hAnsi="Calibri"/>
          <w:sz w:val="22"/>
          <w:szCs w:val="22"/>
          <w:color w:val="auto"/>
        </w:rPr>
        <w:t xml:space="preserve"> Pokazuje, jak prawdopodobne jest, że produkt straci pieniądze z powodu zmian na rynkach lub dlatego, że nie jesteśmy w stanie zapłacić.</w:t>
      </w:r>
      <w:r>
        <w:rPr xmlns:w="http://schemas.openxmlformats.org/wordprocessingml/2006/main">
          <w:rFonts w:ascii="Calibri" w:cs="Calibri" w:eastAsia="Calibri" w:hAnsi="Calibri"/>
          <w:sz w:val="22"/>
          <w:szCs w:val="22"/>
          <w:color w:val="auto"/>
        </w:rPr>
        <w:t xml:space="preserve"> Zaklasyfikowaliśmy ten produkt jako 7 z 7, co jest najwyższą klasą ryzyka i ocenia potencjalne straty z przyszłych wyników na bardzo wysokim poziomie.</w:t>
      </w:r>
      <w:r>
        <w:rPr xmlns:w="http://schemas.openxmlformats.org/wordprocessingml/2006/main">
          <w:rFonts w:ascii="Calibri" w:cs="Calibri" w:eastAsia="Calibri" w:hAnsi="Calibri"/>
          <w:sz w:val="22"/>
          <w:szCs w:val="22"/>
          <w:color w:val="auto"/>
        </w:rPr>
        <w:t xml:space="preserve"> Ten produkt nie obejmuje żadnej ochrony przed przyszłą sytuacją rynkową, więc możesz stracić część lub całość inwestycji.</w:t>
      </w:r>
    </w:p>
    <w:p>
      <w:pPr>
        <w:spacing w:after="0" w:line="46"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Profil ryzyka i zysku dla posiadaczy i emitentów zależy od warunków opcji, ale może obejmować:</w:t>
      </w:r>
    </w:p>
    <w:p>
      <w:pPr>
        <w:spacing w:after="0" w:line="79" w:lineRule="exact"/>
        <w:rPr>
          <w:sz w:val="20"/>
          <w:szCs w:val="20"/>
          <w:color w:val="auto"/>
        </w:rPr>
      </w:pPr>
    </w:p>
    <w:p>
      <w:pPr xmlns:w="http://schemas.openxmlformats.org/wordprocessingml/2006/main">
        <w:ind w:left="220" w:hanging="214"/>
        <w:spacing w:after="0" w:line="222"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Od podmiotu wystawiającego opcje można wymagać, aby spełnił obowiązek zapłaty kwoty rozliczenia wykonania opcji w każdym momencie, gdy opcja jest wykonalna ze względu na jej styl.</w:t>
      </w:r>
      <w:r>
        <w:rPr xmlns:w="http://schemas.openxmlformats.org/wordprocessingml/2006/main">
          <w:rFonts w:ascii="Calibri" w:cs="Calibri" w:eastAsia="Calibri" w:hAnsi="Calibri"/>
          <w:sz w:val="22"/>
          <w:szCs w:val="22"/>
          <w:color w:val="auto"/>
        </w:rPr>
        <w:t xml:space="preserve"> Podmiot oferujący opcje kupna ponosi ryzyko potencjalnie nieograniczonej straty w miarę wzrostu ceny indeksu bazowego.</w:t>
      </w:r>
      <w:r>
        <w:rPr xmlns:w="http://schemas.openxmlformats.org/wordprocessingml/2006/main">
          <w:rFonts w:ascii="Calibri" w:cs="Calibri" w:eastAsia="Calibri" w:hAnsi="Calibri"/>
          <w:sz w:val="22"/>
          <w:szCs w:val="22"/>
          <w:color w:val="auto"/>
        </w:rPr>
        <w:t xml:space="preserve"> Jednostka sporządzająca opcje sprzedaży ponosi ryzyko straty równej różnicy między ceną realizacji opcji sprzedaży a zerem, jeżeli cena indeksu bazowego spadnie do zera.</w:t>
      </w:r>
    </w:p>
    <w:p>
      <w:pPr>
        <w:spacing w:after="0" w:line="80" w:lineRule="exact"/>
        <w:rPr>
          <w:rFonts w:ascii="Symbol" w:cs="Symbol" w:eastAsia="Symbol" w:hAnsi="Symbol"/>
          <w:sz w:val="22"/>
          <w:szCs w:val="22"/>
          <w:color w:val="auto"/>
        </w:rPr>
      </w:pPr>
    </w:p>
    <w:p>
      <w:pPr xmlns:w="http://schemas.openxmlformats.org/wordprocessingml/2006/main">
        <w:ind w:left="220" w:right="80" w:hanging="214"/>
        <w:spacing w:after="0" w:line="217"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Jeżeli amerykańska giełda opcji, na której jedynym przedmiotem obrotu są opcje, stanie się niedostępna, inwestorzy w te opcje nie będą już mogli zawierać transakcji zamknięcia.</w:t>
      </w:r>
      <w:r>
        <w:rPr xmlns:w="http://schemas.openxmlformats.org/wordprocessingml/2006/main">
          <w:rFonts w:ascii="Calibri" w:cs="Calibri" w:eastAsia="Calibri" w:hAnsi="Calibri"/>
          <w:sz w:val="22"/>
          <w:szCs w:val="22"/>
          <w:color w:val="auto"/>
        </w:rPr>
        <w:t xml:space="preserve"> Ponadto mogą wystąpić sytuacje, w których ceny opcji nie utrzymają zwyczajowych lub oczekiwanych relacji z wartością indeksu bazowego.</w:t>
      </w:r>
    </w:p>
    <w:p>
      <w:pPr>
        <w:spacing w:after="0" w:line="79" w:lineRule="exact"/>
        <w:rPr>
          <w:rFonts w:ascii="Symbol" w:cs="Symbol" w:eastAsia="Symbol" w:hAnsi="Symbol"/>
          <w:sz w:val="22"/>
          <w:szCs w:val="22"/>
          <w:color w:val="auto"/>
        </w:rPr>
      </w:pPr>
    </w:p>
    <w:p>
      <w:pPr xmlns:w="http://schemas.openxmlformats.org/wordprocessingml/2006/main">
        <w:ind w:left="220" w:right="180" w:hanging="214"/>
        <w:spacing w:after="0" w:line="204" w:lineRule="auto"/>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Jeżeli bazowy papier wartościowy wykonanej opcji, który jest fizycznie rozliczany, jest niedostępny, zasady UOKiK mogą wymagać alternatywnej formy rozliczenia, takiej jak rozliczenie gotówkowe.</w:t>
      </w:r>
    </w:p>
    <w:p>
      <w:pPr>
        <w:spacing w:after="0" w:line="2" w:lineRule="exact"/>
        <w:rPr>
          <w:rFonts w:ascii="Symbol" w:cs="Symbol" w:eastAsia="Symbol" w:hAnsi="Symbol"/>
          <w:sz w:val="22"/>
          <w:szCs w:val="22"/>
          <w:color w:val="auto"/>
        </w:rPr>
      </w:pPr>
    </w:p>
    <w:p>
      <w:pPr xmlns:w="http://schemas.openxmlformats.org/wordprocessingml/2006/main">
        <w:ind w:left="220" w:hanging="214"/>
        <w:spacing w:after="0"/>
        <w:tabs>
          <w:tab w:leader="none" w:pos="220" w:val="left"/>
        </w:tabs>
        <w:numPr>
          <w:ilvl w:val="0"/>
          <w:numId w:val="1"/>
        </w:numPr>
        <w:rPr>
          <w:rFonts w:ascii="Symbol" w:cs="Symbol" w:eastAsia="Symbol" w:hAnsi="Symbol"/>
          <w:sz w:val="22"/>
          <w:szCs w:val="22"/>
          <w:color w:val="auto"/>
        </w:rPr>
      </w:pPr>
      <w:r>
        <w:rPr xmlns:w="http://schemas.openxmlformats.org/wordprocessingml/2006/main">
          <w:rFonts w:ascii="Calibri" w:cs="Calibri" w:eastAsia="Calibri" w:hAnsi="Calibri"/>
          <w:sz w:val="22"/>
          <w:szCs w:val="22"/>
          <w:color w:val="auto"/>
        </w:rPr>
        <w:t xml:space="preserve">Prawo podatkowe w państwie członkowskim pochodzenia inwestora może mieć wpływ na jego zwrot.</w:t>
      </w:r>
    </w:p>
    <w:p>
      <w:pPr>
        <w:spacing w:after="0" w:line="89" w:lineRule="exact"/>
        <w:rPr>
          <w:rFonts w:ascii="Symbol" w:cs="Symbol" w:eastAsia="Symbol" w:hAnsi="Symbol"/>
          <w:sz w:val="22"/>
          <w:szCs w:val="22"/>
          <w:color w:val="auto"/>
        </w:rPr>
      </w:pPr>
    </w:p>
    <w:p>
      <w:pPr xmlns:w="http://schemas.openxmlformats.org/wordprocessingml/2006/main">
        <w:ind w:left="220" w:right="100" w:hanging="214"/>
        <w:spacing w:after="0" w:line="210" w:lineRule="auto"/>
        <w:tabs>
          <w:tab w:leader="none" w:pos="220" w:val="left"/>
        </w:tabs>
        <w:numPr>
          <w:ilvl w:val="0"/>
          <w:numId w:val="1"/>
        </w:numPr>
        <w:rPr>
          <w:rFonts w:ascii="Symbol" w:cs="Symbol" w:eastAsia="Symbol" w:hAnsi="Symbol"/>
          <w:sz w:val="21"/>
          <w:szCs w:val="21"/>
          <w:color w:val="auto"/>
        </w:rPr>
      </w:pPr>
      <w:r>
        <w:rPr xmlns:w="http://schemas.openxmlformats.org/wordprocessingml/2006/main">
          <w:rFonts w:ascii="Calibri" w:cs="Calibri" w:eastAsia="Calibri" w:hAnsi="Calibri"/>
          <w:sz w:val="21"/>
          <w:szCs w:val="21"/>
          <w:b w:val="1"/>
          <w:bCs w:val="1"/>
          <w:color w:val="auto"/>
        </w:rPr>
        <w:t xml:space="preserve">Bądź świadomy ryzyka walutowego.</w:t>
      </w:r>
      <w:r>
        <w:rPr xmlns:w="http://schemas.openxmlformats.org/wordprocessingml/2006/main">
          <w:rFonts w:ascii="Calibri" w:cs="Calibri" w:eastAsia="Calibri" w:hAnsi="Calibri"/>
          <w:sz w:val="21"/>
          <w:szCs w:val="21"/>
          <w:b w:val="1"/>
          <w:bCs w:val="1"/>
          <w:color w:val="auto"/>
        </w:rPr>
        <w:t xml:space="preserve"> Wszelkie płatności gotówkowe związane z handlem lub korzystaniem z opcji będą rozliczane w dolarach amerykańskich, a w konsekwencji wyniki inwestycyjne mogą się zmieniać w zależności od wahań kursów walut.</w:t>
      </w:r>
      <w:r>
        <w:rPr xmlns:w="http://schemas.openxmlformats.org/wordprocessingml/2006/main">
          <w:rFonts w:ascii="Calibri" w:cs="Calibri" w:eastAsia="Calibri" w:hAnsi="Calibri"/>
          <w:sz w:val="21"/>
          <w:szCs w:val="21"/>
          <w:b w:val="1"/>
          <w:bCs w:val="1"/>
          <w:color w:val="auto"/>
        </w:rPr>
        <w:t xml:space="preserve"> Ryzyko to jest</w:t>
      </w:r>
    </w:p>
    <w:p>
      <w:pPr>
        <w:spacing w:after="0" w:line="2"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nie uwzględniono we wskaźniku powyżej.</w:t>
      </w:r>
    </w:p>
    <w:p>
      <w:pPr>
        <w:spacing w:after="0" w:line="67" w:lineRule="exact"/>
        <w:rPr>
          <w:sz w:val="20"/>
          <w:szCs w:val="20"/>
          <w:color w:val="auto"/>
        </w:rPr>
      </w:pPr>
    </w:p>
    <w:p>
      <w:pPr xmlns:w="http://schemas.openxmlformats.org/wordprocessingml/2006/main">
        <w:ind w:right="200"/>
        <w:spacing w:after="0" w:line="21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Scenariusze wyników</w:t>
      </w:r>
      <w:r>
        <w:rPr xmlns:w="http://schemas.openxmlformats.org/wordprocessingml/2006/main">
          <w:rFonts w:ascii="Calibri" w:cs="Calibri" w:eastAsia="Calibri" w:hAnsi="Calibri"/>
          <w:sz w:val="22"/>
          <w:szCs w:val="22"/>
          <w:color w:val="auto"/>
        </w:rPr>
        <w:t xml:space="preserve"> (Przykłady nie obejmują kosztów prowizji, podatków i innych kosztów transakcyjnych, które mogą mieć wpływ na wartość transakcji i pozycji opcyjnej)</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6151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extLst>
                    </a:blip>
                    <a:srcRect/>
                    <a:stretch>
                      <a:fillRect/>
                    </a:stretch>
                  </pic:blipFill>
                  <pic:spPr bwMode="auto">
                    <a:xfrm>
                      <a:off x="0" y="0"/>
                      <a:ext cx="6591300" cy="1961515"/>
                    </a:xfrm>
                    <a:prstGeom prst="rect">
                      <a:avLst/>
                    </a:prstGeom>
                    <a:noFill/>
                  </pic:spPr>
                </pic:pic>
              </a:graphicData>
            </a:graphic>
          </wp:anchor>
        </w:drawing>
        <w:drawing>
          <wp:anchor simplePos="0" relativeHeight="251657728" behindDoc="1" locked="0" layoutInCell="0" allowOverlap="1">
            <wp:simplePos x="0" y="0"/>
            <wp:positionH relativeFrom="column">
              <wp:posOffset>21590</wp:posOffset>
            </wp:positionH>
            <wp:positionV relativeFrom="paragraph">
              <wp:posOffset>14605</wp:posOffset>
            </wp:positionV>
            <wp:extent cx="6591300" cy="1961515"/>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extLst>
                    </a:blip>
                    <a:srcRect/>
                    <a:stretch>
                      <a:fillRect/>
                    </a:stretch>
                  </pic:blipFill>
                  <pic:spPr bwMode="auto">
                    <a:xfrm>
                      <a:off x="0" y="0"/>
                      <a:ext cx="6591300" cy="1961515"/>
                    </a:xfrm>
                    <a:prstGeom prst="rect">
                      <a:avLst/>
                    </a:prstGeom>
                    <a:noFill/>
                  </pic:spPr>
                </pic:pic>
              </a:graphicData>
            </a:graphic>
          </wp:anchor>
        </w:drawing>
      </w:r>
    </w:p>
    <w:p>
      <w:pPr>
        <w:sectPr>
          <w:pgSz w:w="12240" w:h="15840" w:orient="portrait"/>
          <w:cols w:equalWidth="0" w:num="1">
            <w:col w:w="10380"/>
          </w:cols>
          <w:pgMar w:left="940" w:top="774" w:right="920" w:bottom="176" w:gutter="0" w:footer="0" w:header="0"/>
        </w:sectPr>
      </w:pPr>
    </w:p>
    <w:p>
      <w:pPr>
        <w:spacing w:after="0" w:line="175" w:lineRule="exact"/>
        <w:rPr>
          <w:sz w:val="20"/>
          <w:szCs w:val="20"/>
          <w:color w:val="auto"/>
        </w:rPr>
      </w:pPr>
    </w:p>
    <w:p>
      <w:pPr xmlns:w="http://schemas.openxmlformats.org/wordprocessingml/2006/main">
        <w:jc w:val="center"/>
        <w:ind w:left="360"/>
        <w:spacing w:after="0"/>
        <w:rPr>
          <w:sz w:val="20"/>
          <w:szCs w:val="20"/>
          <w:color w:val="auto"/>
        </w:rPr>
      </w:pPr>
      <w:r>
        <w:rPr xmlns:w="http://schemas.openxmlformats.org/wordprocessingml/2006/main">
          <w:rFonts w:ascii="Calibri" w:cs="Calibri" w:eastAsia="Calibri" w:hAnsi="Calibri"/>
          <w:sz w:val="16"/>
          <w:szCs w:val="16"/>
          <w:color w:val="595959"/>
        </w:rPr>
        <w:t xml:space="preserve">P/L z napisania indeksu sprzedaży (Premium $500; Cena ćwiczenia $45)</w:t>
      </w:r>
    </w:p>
    <w:p>
      <w:pPr>
        <w:spacing w:after="0" w:line="139" w:lineRule="exact"/>
        <w:rPr>
          <w:sz w:val="20"/>
          <w:szCs w:val="20"/>
          <w:color w:val="auto"/>
        </w:rPr>
      </w:pPr>
    </w:p>
    <w:tbl>
      <w:tblPr>
        <w:tblLayout w:type="fixed"/>
        <w:tblInd w:w="440" w:type="dxa"/>
        <w:tblCellMar>
          <w:top w:w="0" w:type="dxa"/>
          <w:left w:w="0" w:type="dxa"/>
          <w:bottom w:w="0" w:type="dxa"/>
          <w:right w:w="0" w:type="dxa"/>
        </w:tblCellMar>
      </w:tblPr>
      <w:tr>
        <w:trPr>
          <w:trHeight w:val="220"/>
        </w:trPr>
        <w:tc>
          <w:tcPr>
            <w:tcW w:w="160" w:type="dxa"/>
            <w:vAlign w:val="bottom"/>
          </w:tcPr>
          <w:p>
            <w:pPr>
              <w:spacing w:after="0"/>
              <w:rPr>
                <w:sz w:val="19"/>
                <w:szCs w:val="19"/>
                <w:color w:val="auto"/>
              </w:rPr>
            </w:pPr>
          </w:p>
        </w:tc>
        <w:tc>
          <w:tcPr>
            <w:tcW w:w="1200" w:type="dxa"/>
            <w:vAlign w:val="bottom"/>
            <w:gridSpan w:val="2"/>
          </w:tcPr>
          <w:p>
            <w:pPr xmlns:w="http://schemas.openxmlformats.org/wordprocessingml/2006/main">
              <w:jc w:val="right"/>
              <w:ind w:right="32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920" w:type="dxa"/>
            <w:vAlign w:val="bottom"/>
            <w:gridSpan w:val="2"/>
          </w:tcPr>
          <w:p>
            <w:pPr xmlns:w="http://schemas.openxmlformats.org/wordprocessingml/2006/main">
              <w:jc w:val="right"/>
              <w:ind w:right="300"/>
              <w:spacing w:after="0"/>
              <w:rPr>
                <w:sz w:val="20"/>
                <w:szCs w:val="20"/>
                <w:color w:val="auto"/>
              </w:rPr>
            </w:pPr>
            <w:r>
              <w:rPr xmlns:w="http://schemas.openxmlformats.org/wordprocessingml/2006/main">
                <w:rFonts w:ascii="Calibri" w:cs="Calibri" w:eastAsia="Calibri" w:hAnsi="Calibri"/>
                <w:sz w:val="18"/>
                <w:szCs w:val="18"/>
                <w:color w:val="595959"/>
              </w:rPr>
              <w:t xml:space="preserve">20 $</w:t>
            </w:r>
          </w:p>
        </w:tc>
        <w:tc>
          <w:tcPr>
            <w:tcW w:w="900" w:type="dxa"/>
            <w:vAlign w:val="bottom"/>
            <w:gridSpan w:val="2"/>
          </w:tcPr>
          <w:p>
            <w:pPr xmlns:w="http://schemas.openxmlformats.org/wordprocessingml/2006/main">
              <w:jc w:val="right"/>
              <w:ind w:right="300"/>
              <w:spacing w:after="0"/>
              <w:rPr>
                <w:sz w:val="20"/>
                <w:szCs w:val="20"/>
                <w:color w:val="auto"/>
              </w:rPr>
            </w:pPr>
            <w:r>
              <w:rPr xmlns:w="http://schemas.openxmlformats.org/wordprocessingml/2006/main">
                <w:rFonts w:ascii="Calibri" w:cs="Calibri" w:eastAsia="Calibri" w:hAnsi="Calibri"/>
                <w:sz w:val="18"/>
                <w:szCs w:val="18"/>
                <w:color w:val="595959"/>
              </w:rPr>
              <w:t xml:space="preserve">40 $</w:t>
            </w:r>
          </w:p>
        </w:tc>
        <w:tc>
          <w:tcPr>
            <w:tcW w:w="900" w:type="dxa"/>
            <w:vAlign w:val="bottom"/>
            <w:gridSpan w:val="2"/>
          </w:tcPr>
          <w:p>
            <w:pPr xmlns:w="http://schemas.openxmlformats.org/wordprocessingml/2006/main">
              <w:jc w:val="right"/>
              <w:ind w:right="300"/>
              <w:spacing w:after="0"/>
              <w:rPr>
                <w:sz w:val="20"/>
                <w:szCs w:val="20"/>
                <w:color w:val="auto"/>
              </w:rPr>
            </w:pPr>
            <w:r>
              <w:rPr xmlns:w="http://schemas.openxmlformats.org/wordprocessingml/2006/main">
                <w:rFonts w:ascii="Calibri" w:cs="Calibri" w:eastAsia="Calibri" w:hAnsi="Calibri"/>
                <w:sz w:val="18"/>
                <w:szCs w:val="18"/>
                <w:color w:val="595959"/>
              </w:rPr>
              <w:t xml:space="preserve">60 $</w:t>
            </w:r>
          </w:p>
        </w:tc>
        <w:tc>
          <w:tcPr>
            <w:tcW w:w="880" w:type="dxa"/>
            <w:vAlign w:val="bottom"/>
            <w:gridSpan w:val="2"/>
          </w:tcPr>
          <w:p>
            <w:pPr xmlns:w="http://schemas.openxmlformats.org/wordprocessingml/2006/main">
              <w:jc w:val="right"/>
              <w:ind w:right="280"/>
              <w:spacing w:after="0"/>
              <w:rPr>
                <w:sz w:val="20"/>
                <w:szCs w:val="20"/>
                <w:color w:val="auto"/>
              </w:rPr>
            </w:pPr>
            <w:r>
              <w:rPr xmlns:w="http://schemas.openxmlformats.org/wordprocessingml/2006/main">
                <w:rFonts w:ascii="Calibri" w:cs="Calibri" w:eastAsia="Calibri" w:hAnsi="Calibri"/>
                <w:sz w:val="18"/>
                <w:szCs w:val="18"/>
                <w:color w:val="595959"/>
              </w:rPr>
              <w:t xml:space="preserve">80 $</w:t>
            </w:r>
          </w:p>
        </w:tc>
        <w:tc>
          <w:tcPr>
            <w:tcW w:w="660" w:type="dxa"/>
            <w:vAlign w:val="bottom"/>
            <w:gridSpan w:val="2"/>
          </w:tcPr>
          <w:p>
            <w:pPr xmlns:w="http://schemas.openxmlformats.org/wordprocessingml/2006/main">
              <w:jc w:val="right"/>
              <w:spacing w:after="0"/>
              <w:rPr>
                <w:sz w:val="20"/>
                <w:szCs w:val="20"/>
                <w:color w:val="auto"/>
              </w:rPr>
            </w:pPr>
            <w:r>
              <w:rPr xmlns:w="http://schemas.openxmlformats.org/wordprocessingml/2006/main">
                <w:rFonts w:ascii="Calibri" w:cs="Calibri" w:eastAsia="Calibri" w:hAnsi="Calibri"/>
                <w:sz w:val="18"/>
                <w:szCs w:val="18"/>
                <w:color w:val="595959"/>
              </w:rPr>
              <w:t xml:space="preserve">100 $</w:t>
            </w:r>
          </w:p>
        </w:tc>
        <w:tc>
          <w:tcPr>
            <w:tcW w:w="0" w:type="dxa"/>
            <w:vAlign w:val="bottom"/>
          </w:tcPr>
          <w:p>
            <w:pPr>
              <w:spacing w:after="0"/>
              <w:rPr>
                <w:sz w:val="1"/>
                <w:szCs w:val="1"/>
                <w:color w:val="auto"/>
              </w:rPr>
            </w:pPr>
          </w:p>
        </w:tc>
      </w:tr>
      <w:tr>
        <w:trPr>
          <w:trHeight w:val="220"/>
        </w:trPr>
        <w:tc>
          <w:tcPr>
            <w:tcW w:w="160" w:type="dxa"/>
            <w:vAlign w:val="bottom"/>
          </w:tcPr>
          <w:p>
            <w:pPr>
              <w:spacing w:after="0"/>
              <w:rPr>
                <w:sz w:val="18"/>
                <w:szCs w:val="18"/>
                <w:color w:val="auto"/>
              </w:rPr>
            </w:pPr>
          </w:p>
        </w:tc>
        <w:tc>
          <w:tcPr>
            <w:tcW w:w="780" w:type="dxa"/>
            <w:vAlign w:val="bottom"/>
          </w:tcPr>
          <w:p>
            <w:pPr xmlns:w="http://schemas.openxmlformats.org/wordprocessingml/2006/main">
              <w:jc w:val="right"/>
              <w:ind w:right="70"/>
              <w:spacing w:after="0" w:line="216" w:lineRule="exact"/>
              <w:rPr>
                <w:sz w:val="20"/>
                <w:szCs w:val="20"/>
                <w:color w:val="auto"/>
              </w:rPr>
            </w:pPr>
            <w:r>
              <w:rPr xmlns:w="http://schemas.openxmlformats.org/wordprocessingml/2006/main">
                <w:rFonts w:ascii="Calibri" w:cs="Calibri" w:eastAsia="Calibri" w:hAnsi="Calibri"/>
                <w:sz w:val="18"/>
                <w:szCs w:val="18"/>
                <w:color w:val="595959"/>
              </w:rPr>
              <w:t xml:space="preserve">1 000 $</w:t>
            </w:r>
          </w:p>
        </w:tc>
        <w:tc>
          <w:tcPr>
            <w:tcW w:w="420" w:type="dxa"/>
            <w:vAlign w:val="bottom"/>
            <w:tcBorders>
              <w:bottom w:val="single" w:sz="8" w:color="D9D9D9"/>
            </w:tcBorders>
          </w:tcPr>
          <w:p>
            <w:pPr>
              <w:spacing w:after="0"/>
              <w:rPr>
                <w:sz w:val="18"/>
                <w:szCs w:val="18"/>
                <w:color w:val="auto"/>
              </w:rPr>
            </w:pPr>
          </w:p>
        </w:tc>
        <w:tc>
          <w:tcPr>
            <w:tcW w:w="500" w:type="dxa"/>
            <w:vAlign w:val="bottom"/>
            <w:tcBorders>
              <w:bottom w:val="single" w:sz="8" w:color="D9D9D9"/>
            </w:tcBorders>
          </w:tcPr>
          <w:p>
            <w:pPr>
              <w:spacing w:after="0"/>
              <w:rPr>
                <w:sz w:val="18"/>
                <w:szCs w:val="18"/>
                <w:color w:val="auto"/>
              </w:rPr>
            </w:pPr>
          </w:p>
        </w:tc>
        <w:tc>
          <w:tcPr>
            <w:tcW w:w="420" w:type="dxa"/>
            <w:vAlign w:val="bottom"/>
            <w:tcBorders>
              <w:bottom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420" w:type="dxa"/>
            <w:vAlign w:val="bottom"/>
            <w:tcBorders>
              <w:bottom w:val="single" w:sz="8" w:color="D9D9D9"/>
            </w:tcBorders>
          </w:tcPr>
          <w:p>
            <w:pPr>
              <w:spacing w:after="0"/>
              <w:rPr>
                <w:sz w:val="18"/>
                <w:szCs w:val="18"/>
                <w:color w:val="auto"/>
              </w:rPr>
            </w:pPr>
          </w:p>
        </w:tc>
        <w:tc>
          <w:tcPr>
            <w:tcW w:w="460" w:type="dxa"/>
            <w:vAlign w:val="bottom"/>
            <w:tcBorders>
              <w:bottom w:val="single" w:sz="8" w:color="D9D9D9"/>
            </w:tcBorders>
          </w:tcPr>
          <w:p>
            <w:pPr>
              <w:spacing w:after="0"/>
              <w:rPr>
                <w:sz w:val="18"/>
                <w:szCs w:val="18"/>
                <w:color w:val="auto"/>
              </w:rPr>
            </w:pPr>
          </w:p>
        </w:tc>
        <w:tc>
          <w:tcPr>
            <w:tcW w:w="440" w:type="dxa"/>
            <w:vAlign w:val="bottom"/>
            <w:tcBorders>
              <w:bottom w:val="single" w:sz="8" w:color="D9D9D9"/>
            </w:tcBorders>
          </w:tcPr>
          <w:p>
            <w:pPr>
              <w:spacing w:after="0"/>
              <w:rPr>
                <w:sz w:val="18"/>
                <w:szCs w:val="18"/>
                <w:color w:val="auto"/>
              </w:rPr>
            </w:pPr>
          </w:p>
        </w:tc>
        <w:tc>
          <w:tcPr>
            <w:tcW w:w="460" w:type="dxa"/>
            <w:vAlign w:val="bottom"/>
            <w:tcBorders>
              <w:bottom w:val="single" w:sz="8" w:color="D9D9D9"/>
            </w:tcBorders>
          </w:tcPr>
          <w:p>
            <w:pPr>
              <w:spacing w:after="0"/>
              <w:rPr>
                <w:sz w:val="18"/>
                <w:szCs w:val="18"/>
                <w:color w:val="auto"/>
              </w:rPr>
            </w:pPr>
          </w:p>
        </w:tc>
        <w:tc>
          <w:tcPr>
            <w:tcW w:w="420" w:type="dxa"/>
            <w:vAlign w:val="bottom"/>
            <w:tcBorders>
              <w:bottom w:val="single" w:sz="8" w:color="D9D9D9"/>
            </w:tcBorders>
          </w:tcPr>
          <w:p>
            <w:pPr>
              <w:spacing w:after="0"/>
              <w:rPr>
                <w:sz w:val="18"/>
                <w:szCs w:val="18"/>
                <w:color w:val="auto"/>
              </w:rPr>
            </w:pPr>
          </w:p>
        </w:tc>
        <w:tc>
          <w:tcPr>
            <w:tcW w:w="480" w:type="dxa"/>
            <w:vAlign w:val="bottom"/>
            <w:tcBorders>
              <w:bottom w:val="single" w:sz="8" w:color="D9D9D9"/>
            </w:tcBorders>
          </w:tcPr>
          <w:p>
            <w:pPr>
              <w:spacing w:after="0"/>
              <w:rPr>
                <w:sz w:val="18"/>
                <w:szCs w:val="18"/>
                <w:color w:val="auto"/>
              </w:rPr>
            </w:pPr>
          </w:p>
        </w:tc>
        <w:tc>
          <w:tcPr>
            <w:tcW w:w="200" w:type="dxa"/>
            <w:vAlign w:val="bottom"/>
          </w:tcPr>
          <w:p>
            <w:pPr>
              <w:spacing w:after="0"/>
              <w:rPr>
                <w:sz w:val="18"/>
                <w:szCs w:val="18"/>
                <w:color w:val="auto"/>
              </w:rPr>
            </w:pPr>
          </w:p>
        </w:tc>
        <w:tc>
          <w:tcPr>
            <w:tcW w:w="0" w:type="dxa"/>
            <w:vAlign w:val="bottom"/>
          </w:tcPr>
          <w:p>
            <w:pPr>
              <w:spacing w:after="0"/>
              <w:rPr>
                <w:sz w:val="1"/>
                <w:szCs w:val="1"/>
                <w:color w:val="auto"/>
              </w:rPr>
            </w:pPr>
          </w:p>
        </w:tc>
      </w:tr>
      <w:tr>
        <w:trPr>
          <w:trHeight w:val="287"/>
        </w:trPr>
        <w:tc>
          <w:tcPr>
            <w:tcW w:w="160" w:type="dxa"/>
            <w:vAlign w:val="bottom"/>
            <w:vMerge w:val="restart"/>
            <w:textDirection w:val="btLr"/>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595959"/>
                <w:w w:val="94"/>
              </w:rPr>
              <w:t xml:space="preserve">P/L</w:t>
            </w: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0 $</w:t>
            </w:r>
          </w:p>
        </w:tc>
        <w:tc>
          <w:tcPr>
            <w:tcW w:w="420" w:type="dxa"/>
            <w:vAlign w:val="bottom"/>
            <w:tcBorders>
              <w:top w:val="single" w:sz="8" w:color="D9D9D9"/>
              <w:left w:val="single" w:sz="8" w:color="BFBFBF"/>
              <w:bottom w:val="single" w:sz="8" w:color="BFBFBF"/>
            </w:tcBorders>
          </w:tcPr>
          <w:p>
            <w:pPr>
              <w:spacing w:after="0"/>
              <w:rPr>
                <w:sz w:val="24"/>
                <w:szCs w:val="24"/>
                <w:color w:val="auto"/>
              </w:rPr>
            </w:pPr>
          </w:p>
        </w:tc>
        <w:tc>
          <w:tcPr>
            <w:tcW w:w="500" w:type="dxa"/>
            <w:vAlign w:val="bottom"/>
            <w:tcBorders>
              <w:top w:val="single" w:sz="8" w:color="D9D9D9"/>
              <w:bottom w:val="single" w:sz="8" w:color="BFBFBF"/>
              <w:right w:val="single" w:sz="8" w:color="D9D9D9"/>
            </w:tcBorders>
          </w:tcPr>
          <w:p>
            <w:pPr>
              <w:spacing w:after="0"/>
              <w:rPr>
                <w:sz w:val="24"/>
                <w:szCs w:val="24"/>
                <w:color w:val="auto"/>
              </w:rPr>
            </w:pPr>
          </w:p>
        </w:tc>
        <w:tc>
          <w:tcPr>
            <w:tcW w:w="420" w:type="dxa"/>
            <w:vAlign w:val="bottom"/>
            <w:tcBorders>
              <w:top w:val="single" w:sz="8" w:color="D9D9D9"/>
              <w:bottom w:val="single" w:sz="8" w:color="BFBFBF"/>
            </w:tcBorders>
          </w:tcPr>
          <w:p>
            <w:pPr>
              <w:spacing w:after="0"/>
              <w:rPr>
                <w:sz w:val="24"/>
                <w:szCs w:val="24"/>
                <w:color w:val="auto"/>
              </w:rPr>
            </w:pPr>
          </w:p>
        </w:tc>
        <w:tc>
          <w:tcPr>
            <w:tcW w:w="480" w:type="dxa"/>
            <w:vAlign w:val="bottom"/>
            <w:tcBorders>
              <w:top w:val="single" w:sz="8" w:color="D9D9D9"/>
              <w:bottom w:val="single" w:sz="8" w:color="BFBFBF"/>
              <w:right w:val="single" w:sz="8" w:color="D9D9D9"/>
            </w:tcBorders>
          </w:tcPr>
          <w:p>
            <w:pPr>
              <w:spacing w:after="0"/>
              <w:rPr>
                <w:sz w:val="24"/>
                <w:szCs w:val="24"/>
                <w:color w:val="auto"/>
              </w:rPr>
            </w:pPr>
          </w:p>
        </w:tc>
        <w:tc>
          <w:tcPr>
            <w:tcW w:w="420" w:type="dxa"/>
            <w:vAlign w:val="bottom"/>
            <w:tcBorders>
              <w:top w:val="single" w:sz="8" w:color="D9D9D9"/>
              <w:bottom w:val="single" w:sz="8" w:color="BFBFBF"/>
            </w:tcBorders>
          </w:tcPr>
          <w:p>
            <w:pPr>
              <w:spacing w:after="0"/>
              <w:rPr>
                <w:sz w:val="24"/>
                <w:szCs w:val="24"/>
                <w:color w:val="auto"/>
              </w:rPr>
            </w:pPr>
          </w:p>
        </w:tc>
        <w:tc>
          <w:tcPr>
            <w:tcW w:w="460" w:type="dxa"/>
            <w:vAlign w:val="bottom"/>
            <w:tcBorders>
              <w:top w:val="single" w:sz="8" w:color="D9D9D9"/>
              <w:bottom w:val="single" w:sz="8" w:color="BFBFBF"/>
              <w:right w:val="single" w:sz="8" w:color="D9D9D9"/>
            </w:tcBorders>
          </w:tcPr>
          <w:p>
            <w:pPr>
              <w:spacing w:after="0"/>
              <w:rPr>
                <w:sz w:val="24"/>
                <w:szCs w:val="24"/>
                <w:color w:val="auto"/>
              </w:rPr>
            </w:pPr>
          </w:p>
        </w:tc>
        <w:tc>
          <w:tcPr>
            <w:tcW w:w="440" w:type="dxa"/>
            <w:vAlign w:val="bottom"/>
            <w:tcBorders>
              <w:top w:val="single" w:sz="8" w:color="D9D9D9"/>
              <w:bottom w:val="single" w:sz="8" w:color="BFBFBF"/>
            </w:tcBorders>
          </w:tcPr>
          <w:p>
            <w:pPr>
              <w:spacing w:after="0"/>
              <w:rPr>
                <w:sz w:val="24"/>
                <w:szCs w:val="24"/>
                <w:color w:val="auto"/>
              </w:rPr>
            </w:pPr>
          </w:p>
        </w:tc>
        <w:tc>
          <w:tcPr>
            <w:tcW w:w="460" w:type="dxa"/>
            <w:vAlign w:val="bottom"/>
            <w:tcBorders>
              <w:top w:val="single" w:sz="8" w:color="D9D9D9"/>
              <w:bottom w:val="single" w:sz="8" w:color="BFBFBF"/>
              <w:right w:val="single" w:sz="8" w:color="D9D9D9"/>
            </w:tcBorders>
          </w:tcPr>
          <w:p>
            <w:pPr>
              <w:spacing w:after="0"/>
              <w:rPr>
                <w:sz w:val="24"/>
                <w:szCs w:val="24"/>
                <w:color w:val="auto"/>
              </w:rPr>
            </w:pPr>
          </w:p>
        </w:tc>
        <w:tc>
          <w:tcPr>
            <w:tcW w:w="420" w:type="dxa"/>
            <w:vAlign w:val="bottom"/>
            <w:tcBorders>
              <w:top w:val="single" w:sz="8" w:color="D9D9D9"/>
              <w:bottom w:val="single" w:sz="8" w:color="BFBFBF"/>
            </w:tcBorders>
          </w:tcPr>
          <w:p>
            <w:pPr>
              <w:spacing w:after="0"/>
              <w:rPr>
                <w:sz w:val="24"/>
                <w:szCs w:val="24"/>
                <w:color w:val="auto"/>
              </w:rPr>
            </w:pPr>
          </w:p>
        </w:tc>
        <w:tc>
          <w:tcPr>
            <w:tcW w:w="480" w:type="dxa"/>
            <w:vAlign w:val="bottom"/>
            <w:tcBorders>
              <w:top w:val="single" w:sz="8" w:color="D9D9D9"/>
              <w:bottom w:val="single" w:sz="8" w:color="BFBFBF"/>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160" w:type="dxa"/>
            <w:vAlign w:val="bottom"/>
            <w:vMerge w:val="continue"/>
          </w:tcPr>
          <w:p>
            <w:pPr>
              <w:spacing w:after="0"/>
              <w:rPr>
                <w:sz w:val="6"/>
                <w:szCs w:val="6"/>
                <w:color w:val="auto"/>
              </w:rPr>
            </w:pPr>
          </w:p>
        </w:tc>
        <w:tc>
          <w:tcPr>
            <w:tcW w:w="780" w:type="dxa"/>
            <w:vAlign w:val="bottom"/>
            <w:vMerge w:val="continue"/>
          </w:tcPr>
          <w:p>
            <w:pPr>
              <w:spacing w:after="0"/>
              <w:rPr>
                <w:sz w:val="6"/>
                <w:szCs w:val="6"/>
                <w:color w:val="auto"/>
              </w:rPr>
            </w:pPr>
          </w:p>
        </w:tc>
        <w:tc>
          <w:tcPr>
            <w:tcW w:w="420" w:type="dxa"/>
            <w:vAlign w:val="bottom"/>
            <w:tcBorders>
              <w:left w:val="single" w:sz="8" w:color="BFBFBF"/>
            </w:tcBorders>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4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87"/>
        </w:trPr>
        <w:tc>
          <w:tcPr>
            <w:tcW w:w="160" w:type="dxa"/>
            <w:vAlign w:val="bottom"/>
            <w:vMerge w:val="continue"/>
          </w:tcPr>
          <w:p>
            <w:pPr>
              <w:spacing w:after="0"/>
              <w:rPr>
                <w:sz w:val="24"/>
                <w:szCs w:val="24"/>
                <w:color w:val="auto"/>
              </w:rPr>
            </w:pP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- 1000 $</w:t>
            </w:r>
          </w:p>
        </w:tc>
        <w:tc>
          <w:tcPr>
            <w:tcW w:w="420" w:type="dxa"/>
            <w:vAlign w:val="bottom"/>
            <w:tcBorders>
              <w:left w:val="single" w:sz="8" w:color="BFBFBF"/>
              <w:bottom w:val="single" w:sz="8" w:color="D9D9D9"/>
            </w:tcBorders>
          </w:tcPr>
          <w:p>
            <w:pPr>
              <w:spacing w:after="0"/>
              <w:rPr>
                <w:sz w:val="24"/>
                <w:szCs w:val="24"/>
                <w:color w:val="auto"/>
              </w:rPr>
            </w:pPr>
          </w:p>
        </w:tc>
        <w:tc>
          <w:tcPr>
            <w:tcW w:w="50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4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420" w:type="dxa"/>
            <w:vAlign w:val="bottom"/>
            <w:tcBorders>
              <w:left w:val="single" w:sz="8" w:color="BFBFBF"/>
            </w:tcBorders>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4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89"/>
        </w:trPr>
        <w:tc>
          <w:tcPr>
            <w:tcW w:w="160" w:type="dxa"/>
            <w:vAlign w:val="bottom"/>
          </w:tcPr>
          <w:p>
            <w:pPr>
              <w:spacing w:after="0"/>
              <w:rPr>
                <w:sz w:val="24"/>
                <w:szCs w:val="24"/>
                <w:color w:val="auto"/>
              </w:rPr>
            </w:pP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- 2 000 $</w:t>
            </w:r>
          </w:p>
        </w:tc>
        <w:tc>
          <w:tcPr>
            <w:tcW w:w="420" w:type="dxa"/>
            <w:vAlign w:val="bottom"/>
            <w:tcBorders>
              <w:left w:val="single" w:sz="8" w:color="BFBFBF"/>
              <w:bottom w:val="single" w:sz="8" w:color="D9D9D9"/>
            </w:tcBorders>
          </w:tcPr>
          <w:p>
            <w:pPr>
              <w:spacing w:after="0"/>
              <w:rPr>
                <w:sz w:val="24"/>
                <w:szCs w:val="24"/>
                <w:color w:val="auto"/>
              </w:rPr>
            </w:pPr>
          </w:p>
        </w:tc>
        <w:tc>
          <w:tcPr>
            <w:tcW w:w="50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4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70"/>
        </w:trPr>
        <w:tc>
          <w:tcPr>
            <w:tcW w:w="160" w:type="dxa"/>
            <w:vAlign w:val="bottom"/>
          </w:tcPr>
          <w:p>
            <w:pPr>
              <w:spacing w:after="0"/>
              <w:rPr>
                <w:sz w:val="6"/>
                <w:szCs w:val="6"/>
                <w:color w:val="auto"/>
              </w:rPr>
            </w:pPr>
          </w:p>
        </w:tc>
        <w:tc>
          <w:tcPr>
            <w:tcW w:w="780" w:type="dxa"/>
            <w:vAlign w:val="bottom"/>
            <w:vMerge w:val="continue"/>
          </w:tcPr>
          <w:p>
            <w:pPr>
              <w:spacing w:after="0"/>
              <w:rPr>
                <w:sz w:val="6"/>
                <w:szCs w:val="6"/>
                <w:color w:val="auto"/>
              </w:rPr>
            </w:pPr>
          </w:p>
        </w:tc>
        <w:tc>
          <w:tcPr>
            <w:tcW w:w="420" w:type="dxa"/>
            <w:vAlign w:val="bottom"/>
            <w:tcBorders>
              <w:left w:val="single" w:sz="8" w:color="BFBFBF"/>
            </w:tcBorders>
          </w:tcPr>
          <w:p>
            <w:pPr>
              <w:spacing w:after="0"/>
              <w:rPr>
                <w:sz w:val="6"/>
                <w:szCs w:val="6"/>
                <w:color w:val="auto"/>
              </w:rPr>
            </w:pPr>
          </w:p>
        </w:tc>
        <w:tc>
          <w:tcPr>
            <w:tcW w:w="50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40" w:type="dxa"/>
            <w:vAlign w:val="bottom"/>
          </w:tcPr>
          <w:p>
            <w:pPr>
              <w:spacing w:after="0"/>
              <w:rPr>
                <w:sz w:val="6"/>
                <w:szCs w:val="6"/>
                <w:color w:val="auto"/>
              </w:rPr>
            </w:pPr>
          </w:p>
        </w:tc>
        <w:tc>
          <w:tcPr>
            <w:tcW w:w="460" w:type="dxa"/>
            <w:vAlign w:val="bottom"/>
            <w:tcBorders>
              <w:right w:val="single" w:sz="8" w:color="D9D9D9"/>
            </w:tcBorders>
          </w:tcPr>
          <w:p>
            <w:pPr>
              <w:spacing w:after="0"/>
              <w:rPr>
                <w:sz w:val="6"/>
                <w:szCs w:val="6"/>
                <w:color w:val="auto"/>
              </w:rPr>
            </w:pPr>
          </w:p>
        </w:tc>
        <w:tc>
          <w:tcPr>
            <w:tcW w:w="420" w:type="dxa"/>
            <w:vAlign w:val="bottom"/>
          </w:tcPr>
          <w:p>
            <w:pPr>
              <w:spacing w:after="0"/>
              <w:rPr>
                <w:sz w:val="6"/>
                <w:szCs w:val="6"/>
                <w:color w:val="auto"/>
              </w:rPr>
            </w:pPr>
          </w:p>
        </w:tc>
        <w:tc>
          <w:tcPr>
            <w:tcW w:w="480" w:type="dxa"/>
            <w:vAlign w:val="bottom"/>
            <w:tcBorders>
              <w:right w:val="single" w:sz="8" w:color="D9D9D9"/>
            </w:tcBorders>
          </w:tcPr>
          <w:p>
            <w:pPr>
              <w:spacing w:after="0"/>
              <w:rPr>
                <w:sz w:val="6"/>
                <w:szCs w:val="6"/>
                <w:color w:val="auto"/>
              </w:rPr>
            </w:pPr>
          </w:p>
        </w:tc>
        <w:tc>
          <w:tcPr>
            <w:tcW w:w="20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312"/>
        </w:trPr>
        <w:tc>
          <w:tcPr>
            <w:tcW w:w="160" w:type="dxa"/>
            <w:vAlign w:val="bottom"/>
          </w:tcPr>
          <w:p>
            <w:pPr>
              <w:spacing w:after="0"/>
              <w:rPr>
                <w:sz w:val="24"/>
                <w:szCs w:val="24"/>
                <w:color w:val="auto"/>
              </w:rPr>
            </w:pPr>
          </w:p>
        </w:tc>
        <w:tc>
          <w:tcPr>
            <w:tcW w:w="780" w:type="dxa"/>
            <w:vAlign w:val="bottom"/>
            <w:vMerge w:val="restart"/>
          </w:tcPr>
          <w:p>
            <w:pPr xmlns:w="http://schemas.openxmlformats.org/wordprocessingml/2006/main">
              <w:jc w:val="right"/>
              <w:ind w:right="70"/>
              <w:spacing w:after="0"/>
              <w:rPr>
                <w:sz w:val="20"/>
                <w:szCs w:val="20"/>
                <w:color w:val="auto"/>
              </w:rPr>
            </w:pPr>
            <w:r>
              <w:rPr xmlns:w="http://schemas.openxmlformats.org/wordprocessingml/2006/main">
                <w:rFonts w:ascii="Calibri" w:cs="Calibri" w:eastAsia="Calibri" w:hAnsi="Calibri"/>
                <w:sz w:val="18"/>
                <w:szCs w:val="18"/>
                <w:color w:val="595959"/>
              </w:rPr>
              <w:t xml:space="preserve">- 3 000 $</w:t>
            </w:r>
          </w:p>
        </w:tc>
        <w:tc>
          <w:tcPr>
            <w:tcW w:w="420" w:type="dxa"/>
            <w:vAlign w:val="bottom"/>
            <w:tcBorders>
              <w:left w:val="single" w:sz="8" w:color="BFBFBF"/>
              <w:bottom w:val="single" w:sz="8" w:color="D9D9D9"/>
            </w:tcBorders>
          </w:tcPr>
          <w:p>
            <w:pPr>
              <w:spacing w:after="0"/>
              <w:rPr>
                <w:sz w:val="24"/>
                <w:szCs w:val="24"/>
                <w:color w:val="auto"/>
              </w:rPr>
            </w:pPr>
          </w:p>
        </w:tc>
        <w:tc>
          <w:tcPr>
            <w:tcW w:w="50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40" w:type="dxa"/>
            <w:vAlign w:val="bottom"/>
            <w:tcBorders>
              <w:bottom w:val="single" w:sz="8" w:color="D9D9D9"/>
            </w:tcBorders>
          </w:tcPr>
          <w:p>
            <w:pPr>
              <w:spacing w:after="0"/>
              <w:rPr>
                <w:sz w:val="24"/>
                <w:szCs w:val="24"/>
                <w:color w:val="auto"/>
              </w:rPr>
            </w:pPr>
          </w:p>
        </w:tc>
        <w:tc>
          <w:tcPr>
            <w:tcW w:w="460" w:type="dxa"/>
            <w:vAlign w:val="bottom"/>
            <w:tcBorders>
              <w:bottom w:val="single" w:sz="8" w:color="D9D9D9"/>
              <w:right w:val="single" w:sz="8" w:color="D9D9D9"/>
            </w:tcBorders>
          </w:tcPr>
          <w:p>
            <w:pPr>
              <w:spacing w:after="0"/>
              <w:rPr>
                <w:sz w:val="24"/>
                <w:szCs w:val="24"/>
                <w:color w:val="auto"/>
              </w:rPr>
            </w:pPr>
          </w:p>
        </w:tc>
        <w:tc>
          <w:tcPr>
            <w:tcW w:w="420" w:type="dxa"/>
            <w:vAlign w:val="bottom"/>
            <w:tcBorders>
              <w:bottom w:val="single" w:sz="8" w:color="D9D9D9"/>
            </w:tcBorders>
          </w:tcPr>
          <w:p>
            <w:pPr>
              <w:spacing w:after="0"/>
              <w:rPr>
                <w:sz w:val="24"/>
                <w:szCs w:val="24"/>
                <w:color w:val="auto"/>
              </w:rPr>
            </w:pPr>
          </w:p>
        </w:tc>
        <w:tc>
          <w:tcPr>
            <w:tcW w:w="480" w:type="dxa"/>
            <w:vAlign w:val="bottom"/>
            <w:tcBorders>
              <w:bottom w:val="single" w:sz="8" w:color="D9D9D9"/>
              <w:right w:val="single" w:sz="8" w:color="D9D9D9"/>
            </w:tcBorders>
          </w:tcPr>
          <w:p>
            <w:pPr>
              <w:spacing w:after="0"/>
              <w:rPr>
                <w:sz w:val="24"/>
                <w:szCs w:val="24"/>
                <w:color w:val="auto"/>
              </w:rPr>
            </w:pPr>
          </w:p>
        </w:tc>
        <w:tc>
          <w:tcPr>
            <w:tcW w:w="2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0"/>
        </w:trPr>
        <w:tc>
          <w:tcPr>
            <w:tcW w:w="160" w:type="dxa"/>
            <w:vAlign w:val="bottom"/>
          </w:tcPr>
          <w:p>
            <w:pPr>
              <w:spacing w:after="0"/>
              <w:rPr>
                <w:sz w:val="2"/>
                <w:szCs w:val="2"/>
                <w:color w:val="auto"/>
              </w:rPr>
            </w:pPr>
          </w:p>
        </w:tc>
        <w:tc>
          <w:tcPr>
            <w:tcW w:w="780" w:type="dxa"/>
            <w:vAlign w:val="bottom"/>
            <w:vMerge w:val="continue"/>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500" w:type="dxa"/>
            <w:vAlign w:val="bottom"/>
            <w:tcBorders>
              <w:top w:val="single" w:sz="8" w:color="D9D9D9"/>
            </w:tcBorders>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480" w:type="dxa"/>
            <w:vAlign w:val="bottom"/>
            <w:tcBorders>
              <w:top w:val="single" w:sz="8" w:color="D9D9D9"/>
            </w:tcBorders>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460" w:type="dxa"/>
            <w:vAlign w:val="bottom"/>
            <w:tcBorders>
              <w:top w:val="single" w:sz="8" w:color="D9D9D9"/>
            </w:tcBorders>
          </w:tcPr>
          <w:p>
            <w:pPr>
              <w:spacing w:after="0"/>
              <w:rPr>
                <w:sz w:val="2"/>
                <w:szCs w:val="2"/>
                <w:color w:val="auto"/>
              </w:rPr>
            </w:pPr>
          </w:p>
        </w:tc>
        <w:tc>
          <w:tcPr>
            <w:tcW w:w="440" w:type="dxa"/>
            <w:vAlign w:val="bottom"/>
            <w:tcBorders>
              <w:top w:val="single" w:sz="8" w:color="D9D9D9"/>
            </w:tcBorders>
          </w:tcPr>
          <w:p>
            <w:pPr>
              <w:spacing w:after="0"/>
              <w:rPr>
                <w:sz w:val="2"/>
                <w:szCs w:val="2"/>
                <w:color w:val="auto"/>
              </w:rPr>
            </w:pPr>
          </w:p>
        </w:tc>
        <w:tc>
          <w:tcPr>
            <w:tcW w:w="460" w:type="dxa"/>
            <w:vAlign w:val="bottom"/>
            <w:tcBorders>
              <w:top w:val="single" w:sz="8" w:color="D9D9D9"/>
            </w:tcBorders>
          </w:tcPr>
          <w:p>
            <w:pPr>
              <w:spacing w:after="0"/>
              <w:rPr>
                <w:sz w:val="2"/>
                <w:szCs w:val="2"/>
                <w:color w:val="auto"/>
              </w:rPr>
            </w:pPr>
          </w:p>
        </w:tc>
        <w:tc>
          <w:tcPr>
            <w:tcW w:w="420" w:type="dxa"/>
            <w:vAlign w:val="bottom"/>
            <w:tcBorders>
              <w:top w:val="single" w:sz="8" w:color="D9D9D9"/>
            </w:tcBorders>
          </w:tcPr>
          <w:p>
            <w:pPr>
              <w:spacing w:after="0"/>
              <w:rPr>
                <w:sz w:val="2"/>
                <w:szCs w:val="2"/>
                <w:color w:val="auto"/>
              </w:rPr>
            </w:pPr>
          </w:p>
        </w:tc>
        <w:tc>
          <w:tcPr>
            <w:tcW w:w="480" w:type="dxa"/>
            <w:vAlign w:val="bottom"/>
            <w:tcBorders>
              <w:top w:val="single" w:sz="8" w:color="D9D9D9"/>
            </w:tcBorders>
          </w:tcPr>
          <w:p>
            <w:pPr>
              <w:spacing w:after="0"/>
              <w:rPr>
                <w:sz w:val="2"/>
                <w:szCs w:val="2"/>
                <w:color w:val="auto"/>
              </w:rPr>
            </w:pPr>
          </w:p>
        </w:tc>
        <w:tc>
          <w:tcPr>
            <w:tcW w:w="200" w:type="dxa"/>
            <w:vAlign w:val="bottom"/>
          </w:tcPr>
          <w:p>
            <w:pPr>
              <w:spacing w:after="0"/>
              <w:rPr>
                <w:sz w:val="2"/>
                <w:szCs w:val="2"/>
                <w:color w:val="auto"/>
              </w:rPr>
            </w:pPr>
          </w:p>
        </w:tc>
        <w:tc>
          <w:tcPr>
            <w:tcW w:w="0" w:type="dxa"/>
            <w:vAlign w:val="bottom"/>
          </w:tcPr>
          <w:p>
            <w:pPr>
              <w:spacing w:after="0" w:line="20" w:lineRule="exact"/>
              <w:rPr>
                <w:sz w:val="1"/>
                <w:szCs w:val="1"/>
                <w:color w:val="auto"/>
              </w:rPr>
            </w:pPr>
          </w:p>
        </w:tc>
      </w:tr>
    </w:tbl>
    <w:p>
      <w:pPr xmlns:w="http://schemas.openxmlformats.org/wordprocessingml/2006/main">
        <w:ind w:left="2760"/>
        <w:spacing w:after="0" w:line="181" w:lineRule="auto"/>
        <w:rPr>
          <w:sz w:val="20"/>
          <w:szCs w:val="20"/>
          <w:color w:val="auto"/>
        </w:rPr>
      </w:pPr>
      <w:r>
        <w:rPr xmlns:w="http://schemas.openxmlformats.org/wordprocessingml/2006/main">
          <w:rFonts w:ascii="Calibri" w:cs="Calibri" w:eastAsia="Calibri" w:hAnsi="Calibri"/>
          <w:sz w:val="16"/>
          <w:szCs w:val="16"/>
          <w:color w:val="595959"/>
        </w:rPr>
        <w:t xml:space="preserve">Cena rynkowa instrumentu bazowego</w:t>
      </w:r>
    </w:p>
    <w:p>
      <w:pPr xmlns:w="http://schemas.openxmlformats.org/wordprocessingml/2006/main">
        <w:spacing w:after="0" w:line="20" w:lineRule="exact"/>
        <w:rPr>
          <w:sz w:val="20"/>
          <w:szCs w:val="20"/>
          <w:color w:val="auto"/>
        </w:rPr>
      </w:pPr>
      <w:r>
        <w:rPr xmlns:w="http://schemas.openxmlformats.org/wordprocessingml/2006/main">
          <w:sz w:val="20"/>
          <w:szCs w:val="20"/>
          <w:color w:val="auto"/>
        </w:rPr>
        <w:br xmlns:w="http://schemas.openxmlformats.org/wordprocessingml/2006/main" w:type="column"/>
      </w:r>
    </w:p>
    <w:p>
      <w:pPr>
        <w:spacing w:after="0" w:line="8"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Przesunięcie Indeksu Bazowego Dla Rynków Skrajnych (</w:t>
      </w:r>
      <w:r>
        <w:rPr xmlns:w="http://schemas.openxmlformats.org/wordprocessingml/2006/main">
          <w:rFonts w:ascii="Calibri" w:cs="Calibri" w:eastAsia="Calibri" w:hAnsi="Calibri"/>
          <w:sz w:val="16"/>
          <w:szCs w:val="16"/>
          <w:u w:val="single" w:color="auto"/>
          <w:color w:val="FF0000"/>
        </w:rPr>
        <w:t xml:space="preserve">Czerwony Wykres</w:t>
      </w:r>
    </w:p>
    <w:p>
      <w:pPr>
        <w:spacing w:after="0" w:line="1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FF0000"/>
        </w:rPr>
        <w:t xml:space="preserve">Punkt</w:t>
      </w:r>
      <w:r>
        <w:rPr xmlns:w="http://schemas.openxmlformats.org/wordprocessingml/2006/main">
          <w:rFonts w:ascii="Calibri" w:cs="Calibri" w:eastAsia="Calibri" w:hAnsi="Calibri"/>
          <w:sz w:val="16"/>
          <w:szCs w:val="16"/>
          <w:u w:val="single" w:color="auto"/>
          <w:color w:val="000000"/>
        </w:rPr>
        <w:t xml:space="preserve">)</w:t>
      </w:r>
    </w:p>
    <w:p>
      <w:pPr>
        <w:spacing w:after="0" w:line="174"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Cena rynkowa: $15</w:t>
      </w:r>
    </w:p>
    <w:p>
      <w:pPr>
        <w:spacing w:after="0" w:line="123" w:lineRule="exact"/>
        <w:rPr>
          <w:sz w:val="20"/>
          <w:szCs w:val="20"/>
          <w:color w:val="auto"/>
        </w:rPr>
      </w:pPr>
    </w:p>
    <w:p>
      <w:pPr xmlns:w="http://schemas.openxmlformats.org/wordprocessingml/2006/main">
        <w:ind w:left="280" w:hanging="137"/>
        <w:spacing w:after="0"/>
        <w:tabs>
          <w:tab w:leader="none" w:pos="280" w:val="left"/>
        </w:tabs>
        <w:numPr>
          <w:ilvl w:val="0"/>
          <w:numId w:val="2"/>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Niekorzystny dla pisarza - 2500 USD</w:t>
      </w:r>
    </w:p>
    <w:p>
      <w:pPr xmlns:w="http://schemas.openxmlformats.org/wordprocessingml/2006/main">
        <w:ind w:left="140"/>
        <w:spacing w:after="0" w:line="211" w:lineRule="auto"/>
        <w:tabs>
          <w:tab w:leader="none" w:pos="172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Korzystny dla posiadacza</w:t>
        <w:tab xmlns:w="http://schemas.openxmlformats.org/wordprocessingml/2006/main"/>
      </w:r>
      <w:r>
        <w:rPr xmlns:w="http://schemas.openxmlformats.org/wordprocessingml/2006/main">
          <w:rFonts w:ascii="Calibri" w:cs="Calibri" w:eastAsia="Calibri" w:hAnsi="Calibri"/>
          <w:sz w:val="15"/>
          <w:szCs w:val="15"/>
          <w:color w:val="auto"/>
        </w:rPr>
        <w:t xml:space="preserve">+ 2500 $</w:t>
      </w:r>
    </w:p>
    <w:p>
      <w:pPr>
        <w:spacing w:after="0" w:line="103"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auto"/>
        </w:rPr>
        <w:t xml:space="preserve">P/L Umiarkowane Przesunięcie Indeksu Bazowego Rynku (</w:t>
      </w:r>
      <w:r>
        <w:rPr xmlns:w="http://schemas.openxmlformats.org/wordprocessingml/2006/main">
          <w:rFonts w:ascii="Calibri" w:cs="Calibri" w:eastAsia="Calibri" w:hAnsi="Calibri"/>
          <w:sz w:val="16"/>
          <w:szCs w:val="16"/>
          <w:u w:val="single" w:color="auto"/>
          <w:color w:val="00B050"/>
        </w:rPr>
        <w:t xml:space="preserve">Zielony Wykres</w:t>
      </w:r>
    </w:p>
    <w:p>
      <w:pPr>
        <w:spacing w:after="0" w:line="1"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u w:val="single" w:color="auto"/>
          <w:color w:val="00B050"/>
        </w:rPr>
        <w:t xml:space="preserve">Punkt</w:t>
      </w:r>
      <w:r>
        <w:rPr xmlns:w="http://schemas.openxmlformats.org/wordprocessingml/2006/main">
          <w:rFonts w:ascii="Calibri" w:cs="Calibri" w:eastAsia="Calibri" w:hAnsi="Calibri"/>
          <w:sz w:val="16"/>
          <w:szCs w:val="16"/>
          <w:u w:val="single" w:color="auto"/>
          <w:color w:val="000000"/>
        </w:rPr>
        <w:t xml:space="preserve">)</w:t>
      </w:r>
    </w:p>
    <w:p>
      <w:pPr>
        <w:spacing w:after="0" w:line="119"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6"/>
          <w:szCs w:val="16"/>
          <w:color w:val="auto"/>
        </w:rPr>
        <w:t xml:space="preserve">Cena rynkowa: $35</w:t>
      </w:r>
    </w:p>
    <w:p>
      <w:pPr>
        <w:spacing w:after="0" w:line="123" w:lineRule="exact"/>
        <w:rPr>
          <w:sz w:val="20"/>
          <w:szCs w:val="20"/>
          <w:color w:val="auto"/>
        </w:rPr>
      </w:pPr>
    </w:p>
    <w:p>
      <w:pPr xmlns:w="http://schemas.openxmlformats.org/wordprocessingml/2006/main">
        <w:ind w:left="280" w:hanging="137"/>
        <w:spacing w:after="0"/>
        <w:tabs>
          <w:tab w:leader="none" w:pos="280" w:val="left"/>
        </w:tabs>
        <w:numPr>
          <w:ilvl w:val="0"/>
          <w:numId w:val="3"/>
        </w:numPr>
        <w:rPr>
          <w:rFonts w:ascii="Symbol" w:cs="Symbol" w:eastAsia="Symbol" w:hAnsi="Symbol"/>
          <w:sz w:val="16"/>
          <w:szCs w:val="16"/>
          <w:color w:val="auto"/>
        </w:rPr>
      </w:pPr>
      <w:r>
        <w:rPr xmlns:w="http://schemas.openxmlformats.org/wordprocessingml/2006/main">
          <w:rFonts w:ascii="Calibri" w:cs="Calibri" w:eastAsia="Calibri" w:hAnsi="Calibri"/>
          <w:sz w:val="16"/>
          <w:szCs w:val="16"/>
          <w:color w:val="auto"/>
        </w:rPr>
        <w:t xml:space="preserve">Niekorzystny dla pisarza - 500 dolarów</w:t>
      </w:r>
    </w:p>
    <w:p>
      <w:pPr xmlns:w="http://schemas.openxmlformats.org/wordprocessingml/2006/main">
        <w:ind w:left="140"/>
        <w:spacing w:after="0" w:line="207" w:lineRule="auto"/>
        <w:tabs>
          <w:tab w:leader="none" w:pos="1760" w:val="left"/>
        </w:tabs>
        <w:rPr>
          <w:sz w:val="20"/>
          <w:szCs w:val="20"/>
          <w:color w:val="auto"/>
        </w:rPr>
      </w:pPr>
      <w:r xmlns:w="http://schemas.openxmlformats.org/wordprocessingml/2006/main">
        <w:rPr>
          <w:rFonts w:ascii="Symbol" w:cs="Symbol" w:eastAsia="Symbol" w:hAnsi="Symbol"/>
          <w:sz w:val="16"/>
          <w:szCs w:val="16"/>
          <w:color w:val="auto"/>
        </w:rPr>
        <w:t>·</w:t>
      </w:r>
      <w:r>
        <w:rPr xmlns:w="http://schemas.openxmlformats.org/wordprocessingml/2006/main">
          <w:rFonts w:ascii="Calibri" w:cs="Calibri" w:eastAsia="Calibri" w:hAnsi="Calibri"/>
          <w:sz w:val="16"/>
          <w:szCs w:val="16"/>
          <w:color w:val="auto"/>
        </w:rPr>
        <w:t xml:space="preserve"> Korzystny dla posiadacza</w:t>
        <w:tab xmlns:w="http://schemas.openxmlformats.org/wordprocessingml/2006/main"/>
      </w:r>
      <w:r>
        <w:rPr xmlns:w="http://schemas.openxmlformats.org/wordprocessingml/2006/main">
          <w:rFonts w:ascii="Calibri" w:cs="Calibri" w:eastAsia="Calibri" w:hAnsi="Calibri"/>
          <w:sz w:val="15"/>
          <w:szCs w:val="15"/>
          <w:color w:val="auto"/>
        </w:rPr>
        <w:t xml:space="preserve">+ 500 $</w:t>
      </w:r>
    </w:p>
    <w:p>
      <w:pPr>
        <w:spacing w:after="0" w:line="34" w:lineRule="exact"/>
        <w:rPr>
          <w:sz w:val="20"/>
          <w:szCs w:val="20"/>
          <w:color w:val="auto"/>
        </w:rPr>
      </w:pPr>
    </w:p>
    <w:p>
      <w:pPr xmlns:w="http://schemas.openxmlformats.org/wordprocessingml/2006/main">
        <w:ind w:right="100"/>
        <w:spacing w:after="0" w:line="211" w:lineRule="auto"/>
        <w:rPr>
          <w:sz w:val="20"/>
          <w:szCs w:val="20"/>
          <w:color w:val="auto"/>
        </w:rPr>
      </w:pPr>
      <w:r>
        <w:rPr xmlns:w="http://schemas.openxmlformats.org/wordprocessingml/2006/main">
          <w:rFonts w:ascii="Calibri" w:cs="Calibri" w:eastAsia="Calibri" w:hAnsi="Calibri"/>
          <w:sz w:val="16"/>
          <w:szCs w:val="16"/>
          <w:u w:val="single" w:color="auto"/>
          <w:color w:val="auto"/>
        </w:rPr>
        <w:t xml:space="preserve">Wartość Break Even Point występuje, gdy cena bazowa jest równa cenie wykonania minus premia.</w:t>
      </w:r>
    </w:p>
    <w:p>
      <w:pPr>
        <w:spacing w:after="0" w:line="80" w:lineRule="exact"/>
        <w:rPr>
          <w:sz w:val="20"/>
          <w:szCs w:val="20"/>
          <w:color w:val="auto"/>
        </w:rPr>
      </w:pPr>
    </w:p>
    <w:p>
      <w:pPr>
        <w:sectPr>
          <w:pgSz w:w="12240" w:h="15840" w:orient="portrait"/>
          <w:cols w:equalWidth="0" w:num="2">
            <w:col w:w="6060" w:space="460"/>
            <w:col w:w="3860"/>
          </w:cols>
          <w:pgMar w:left="940" w:top="774" w:right="920" w:bottom="176" w:gutter="0" w:footer="0" w:header="0"/>
          <w:type w:val="continuous"/>
        </w:sectPr>
      </w:pPr>
    </w:p>
    <w:p>
      <w:pPr xmlns:w="http://schemas.openxmlformats.org/wordprocessingml/2006/main">
        <w:ind w:right="40"/>
        <w:spacing w:after="0" w:line="231" w:lineRule="auto"/>
        <w:rPr>
          <w:sz w:val="20"/>
          <w:szCs w:val="20"/>
          <w:color w:val="auto"/>
        </w:rPr>
      </w:pPr>
      <w:r>
        <w:rPr xmlns:w="http://schemas.openxmlformats.org/wordprocessingml/2006/main">
          <w:rFonts w:ascii="Calibri" w:cs="Calibri" w:eastAsia="Calibri" w:hAnsi="Calibri"/>
          <w:sz w:val="22"/>
          <w:szCs w:val="22"/>
          <w:color w:val="auto"/>
        </w:rPr>
        <w:t xml:space="preserve">Wykres ilustruje, jak Twoja inwestycja może się sprawdzić.</w:t>
      </w:r>
      <w:r>
        <w:rPr xmlns:w="http://schemas.openxmlformats.org/wordprocessingml/2006/main">
          <w:rFonts w:ascii="Calibri" w:cs="Calibri" w:eastAsia="Calibri" w:hAnsi="Calibri"/>
          <w:sz w:val="22"/>
          <w:szCs w:val="22"/>
          <w:color w:val="auto"/>
        </w:rPr>
        <w:t xml:space="preserve"> Można to porównać do wykresów wypłat dla innych instrumentów pochodnych.</w:t>
      </w:r>
      <w:r>
        <w:rPr xmlns:w="http://schemas.openxmlformats.org/wordprocessingml/2006/main">
          <w:rFonts w:ascii="Calibri" w:cs="Calibri" w:eastAsia="Calibri" w:hAnsi="Calibri"/>
          <w:sz w:val="22"/>
          <w:szCs w:val="22"/>
          <w:color w:val="auto"/>
        </w:rPr>
        <w:t xml:space="preserve"> Wykres przedstawia szereg możliwych wyników i nie jest dokładną wskazówką, co możesz otrzymać.</w:t>
      </w:r>
      <w:r>
        <w:rPr xmlns:w="http://schemas.openxmlformats.org/wordprocessingml/2006/main">
          <w:rFonts w:ascii="Calibri" w:cs="Calibri" w:eastAsia="Calibri" w:hAnsi="Calibri"/>
          <w:sz w:val="22"/>
          <w:szCs w:val="22"/>
          <w:color w:val="auto"/>
        </w:rPr>
        <w:t xml:space="preserve"> Inwestowanie w ten produkt oznacza, że uważasz, że cena bazowa wzrośnie.</w:t>
      </w:r>
      <w:r>
        <w:rPr xmlns:w="http://schemas.openxmlformats.org/wordprocessingml/2006/main">
          <w:rFonts w:ascii="Calibri" w:cs="Calibri" w:eastAsia="Calibri" w:hAnsi="Calibri"/>
          <w:sz w:val="22"/>
          <w:szCs w:val="22"/>
          <w:color w:val="auto"/>
        </w:rPr>
        <w:t xml:space="preserve"> To, co otrzymasz, będzie się różnić w zależności od tego, jak wartość instrumentu bazowego zmienia się w czasie, co zależy od przyszłych wyników rynkowych, które są niepewne i nie można ich przewidzieć.</w:t>
      </w:r>
      <w:r>
        <w:rPr xmlns:w="http://schemas.openxmlformats.org/wordprocessingml/2006/main">
          <w:rFonts w:ascii="Calibri" w:cs="Calibri" w:eastAsia="Calibri" w:hAnsi="Calibri"/>
          <w:sz w:val="22"/>
          <w:szCs w:val="22"/>
          <w:color w:val="auto"/>
        </w:rPr>
        <w:t xml:space="preserve"> Dla dwóch wartości instrumentu bazowego wykres pokazuje, jaki byłby zysk lub strata produktu.</w:t>
      </w:r>
      <w:r>
        <w:rPr xmlns:w="http://schemas.openxmlformats.org/wordprocessingml/2006/main">
          <w:rFonts w:ascii="Calibri" w:cs="Calibri" w:eastAsia="Calibri" w:hAnsi="Calibri"/>
          <w:sz w:val="22"/>
          <w:szCs w:val="22"/>
          <w:color w:val="auto"/>
        </w:rPr>
        <w:t xml:space="preserve"> Oś pozioma pokazuje możliwe wartości linii bazowej, a oś pionowa pokazuje zysk lub stratę opcji.</w:t>
      </w:r>
      <w:r>
        <w:rPr xmlns:w="http://schemas.openxmlformats.org/wordprocessingml/2006/main">
          <w:rFonts w:ascii="Calibri" w:cs="Calibri" w:eastAsia="Calibri" w:hAnsi="Calibri"/>
          <w:sz w:val="22"/>
          <w:szCs w:val="22"/>
          <w:color w:val="auto"/>
        </w:rPr>
        <w:t xml:space="preserve"> Przedstawione liczby obejmują wszystkie koszty samego produktu, ale mogą nie obejmować wszystkich</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-67945</wp:posOffset>
                </wp:positionH>
                <wp:positionV relativeFrom="paragraph">
                  <wp:posOffset>20320</wp:posOffset>
                </wp:positionV>
                <wp:extent cx="6752590" cy="0"/>
                <wp:wrapNone/>
                <wp:docPr id="22" name="Shape 22"/>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259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2" o:spid="_x0000_s104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3499pt,1.6pt" to="526.35pt,1.6pt" o:allowincell="f" strokecolor="#000000" strokeweight="0.4799pt"/>
            </w:pict>
          </mc:Fallback>
        </mc:AlternateContent>
      </w:r>
    </w:p>
    <w:p>
      <w:pPr>
        <w:sectPr>
          <w:pgSz w:w="12240" w:h="15840" w:orient="portrait"/>
          <w:cols w:equalWidth="0" w:num="1">
            <w:col w:w="10380"/>
          </w:cols>
          <w:pgMar w:left="940" w:top="774" w:right="920" w:bottom="176" w:gutter="0" w:footer="0" w:header="0"/>
          <w:type w:val="continuous"/>
        </w:sectPr>
      </w:pPr>
    </w:p>
    <w:bookmarkStart w:id="2" w:name="page3"/>
    <w:bookmarkEnd w:id="2"/>
    <w:p>
      <w:pPr xmlns:w="http://schemas.openxmlformats.org/wordprocessingml/2006/main">
        <w:ind w:left="220" w:right="120"/>
        <w:spacing w:after="0" w:line="210" w:lineRule="auto"/>
        <w:rPr>
          <w:sz w:val="20"/>
          <w:szCs w:val="20"/>
          <w:color w:val="auto"/>
        </w:rPr>
      </w:pP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459740</wp:posOffset>
                </wp:positionV>
                <wp:extent cx="6753225" cy="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36.2pt" to="573.35pt,36.2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807085</wp:posOffset>
                </wp:positionV>
                <wp:extent cx="6753225" cy="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6">
                          <a:solidFill>
                            <a:srgbClr val="000000"/>
                          </a:solidFill>
                          <a:miter lim="800000"/>
                          <a:headEnd/>
                          <a:tailEnd/>
                        </a:ln>
                      </wps:spPr>
                      <wps:bodyPr/>
                    </wps:wsp>
                  </a:graphicData>
                </a:graphic>
              </wp:anchor>
            </w:drawing>
          </mc:Choice>
          <mc:Fallback>
            <w:pict>
              <v:line xmlns:v="urn:schemas-microsoft-com:vml"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3.55pt" to="573.35pt,63.55pt" o:allowincell="f" strokecolor="#000000" strokeweight="0.48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6447790</wp:posOffset>
                </wp:positionV>
                <wp:extent cx="6753225" cy="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507.7pt" to="573.35pt,507.7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528320</wp:posOffset>
                </wp:positionH>
                <wp:positionV relativeFrom="page">
                  <wp:posOffset>7988300</wp:posOffset>
                </wp:positionV>
                <wp:extent cx="6753225" cy="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6pt,629pt" to="573.35pt,62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531495</wp:posOffset>
                </wp:positionH>
                <wp:positionV relativeFrom="page">
                  <wp:posOffset>457200</wp:posOffset>
                </wp:positionV>
                <wp:extent cx="0" cy="867283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1.85pt,36pt" to="41.85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mc:AlternateContent xmlns:mc="http://schemas.openxmlformats.org/markup-compatibility/2006" xmlns:w="http://schemas.openxmlformats.org/wordprocessingml/2006/main">
          <mc:Choice Requires="wps">
            <w:drawing>
              <wp:anchor xmlns:wp="http://schemas.openxmlformats.org/drawingml/2006/wordprocessingDrawing" simplePos="0" relativeHeight="251657728" behindDoc="1" locked="0" layoutInCell="0" allowOverlap="1">
                <wp:simplePos x="0" y="0"/>
                <wp:positionH relativeFrom="page">
                  <wp:posOffset>7278370</wp:posOffset>
                </wp:positionH>
                <wp:positionV relativeFrom="page">
                  <wp:posOffset>457200</wp:posOffset>
                </wp:positionV>
                <wp:extent cx="0" cy="867283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wps:spPr>
                        <a:xfrm>
                          <a:off x="0" y="0"/>
                          <a:ext cx="4763" cy="8672830"/>
                        </a:xfrm>
                        <a:prstGeom prst="line">
                          <a:avLst/>
                        </a:prstGeom>
                        <a:solidFill>
                          <a:srgbClr val="FFFFFF"/>
                        </a:solidFill>
                        <a:ln w="6095">
                          <a:solidFill>
                            <a:srgbClr val="000000"/>
                          </a:solidFill>
                          <a:miter lim="800000"/>
                          <a:headEnd/>
                          <a:tailEnd/>
                        </a:ln>
                      </wps:spPr>
                      <wps:bodyPr/>
                    </wps:wsp>
                  </a:graphicData>
                </a:graphic>
              </wp:anchor>
            </w:drawing>
          </mc:Choice>
          <mc:Fallback>
            <w:pict>
              <v:line xmlns:v="urn:schemas-microsoft-com:vml"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73.1pt,36pt" to="573.1pt,718.9pt" o:allowincell="f" strokecolor="#000000" strokeweight="0.4799pt">
                <w10:wrap xmlns:w10="urn:schemas-microsoft-com:office:word" anchorx="page" anchory="page"/>
              </v:line>
            </w:pict>
          </mc:Fallback>
        </mc:AlternateContent>
      </w:r>
      <w:r>
        <w:rPr xmlns:w="http://schemas.openxmlformats.org/wordprocessingml/2006/main">
          <w:rFonts w:ascii="Calibri" w:cs="Calibri" w:eastAsia="Calibri" w:hAnsi="Calibri"/>
          <w:sz w:val="22"/>
          <w:szCs w:val="22"/>
          <w:color w:val="auto"/>
        </w:rPr>
        <w:t xml:space="preserve">koszty, które płacisz doradcy lub dystrybutorowi i nie uwzględniasz swojej osobistej sytuacji podatkowej, co może mieć również wpływ na wysokość otrzymywanych przez Ciebie kwot.</w:t>
      </w:r>
    </w:p>
    <w:p>
      <w:pPr>
        <w:spacing w:after="0" w:line="77" w:lineRule="exact"/>
        <w:rPr>
          <w:sz w:val="20"/>
          <w:szCs w:val="20"/>
          <w:color w:val="auto"/>
        </w:rPr>
      </w:pPr>
    </w:p>
    <w:p>
      <w:pPr xmlns:w="http://schemas.openxmlformats.org/wordprocessingml/2006/main">
        <w:ind w:left="220" w:right="200"/>
        <w:spacing w:after="0" w:line="234"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Co się stanie, jeśli OCC nie będzie w stanie wypłacić?</w:t>
      </w:r>
      <w:r>
        <w:rPr xmlns:w="http://schemas.openxmlformats.org/wordprocessingml/2006/main">
          <w:rFonts w:ascii="Calibri" w:cs="Calibri" w:eastAsia="Calibri" w:hAnsi="Calibri"/>
          <w:sz w:val="22"/>
          <w:szCs w:val="22"/>
          <w:color w:val="auto"/>
        </w:rPr>
        <w:t xml:space="preserve"> Zasady UOKiK zostały zaprojektowane w taki sposób, aby wyniki dotyczące wszystkich opcji były pomiędzy UOKiK a grupą firm maklerskich zwanych członkami rozliczającymi, które posiadają pozycje wszystkich posiadaczy opcji i emitentów na swoich rachunkach UOKiK.</w:t>
      </w:r>
      <w:r>
        <w:rPr xmlns:w="http://schemas.openxmlformats.org/wordprocessingml/2006/main">
          <w:rFonts w:ascii="Calibri" w:cs="Calibri" w:eastAsia="Calibri" w:hAnsi="Calibri"/>
          <w:sz w:val="22"/>
          <w:szCs w:val="22"/>
          <w:color w:val="auto"/>
        </w:rPr>
        <w:t xml:space="preserve"> Członkowie rozliczający muszą spełniać wymogi finansowe UOKiK w zakresie uczestnictwa oraz ustanawiać zabezpieczenia dla pozycji emitentów opcji, które są przez nich notowane.</w:t>
      </w:r>
      <w:r>
        <w:rPr xmlns:w="http://schemas.openxmlformats.org/wordprocessingml/2006/main">
          <w:rFonts w:ascii="Calibri" w:cs="Calibri" w:eastAsia="Calibri" w:hAnsi="Calibri"/>
          <w:sz w:val="22"/>
          <w:szCs w:val="22"/>
          <w:color w:val="auto"/>
        </w:rPr>
        <w:t xml:space="preserve"> Biuro maklerskie emitenta może wymagać od inwestora dostarczenia powiązanych zabezpieczeń w związku z pozycjami, jak opisano poniżej.</w:t>
      </w:r>
      <w:r>
        <w:rPr xmlns:w="http://schemas.openxmlformats.org/wordprocessingml/2006/main">
          <w:rFonts w:ascii="Calibri" w:cs="Calibri" w:eastAsia="Calibri" w:hAnsi="Calibri"/>
          <w:sz w:val="22"/>
          <w:szCs w:val="22"/>
          <w:color w:val="auto"/>
        </w:rPr>
        <w:t xml:space="preserve"> W procesie nowacji prawnej OCC staje się kupującym dla każdego sprzedającego członka rozliczającego, a sprzedającym dla każdego kupującego członka rozliczającego.</w:t>
      </w:r>
      <w:r>
        <w:rPr xmlns:w="http://schemas.openxmlformats.org/wordprocessingml/2006/main">
          <w:rFonts w:ascii="Calibri" w:cs="Calibri" w:eastAsia="Calibri" w:hAnsi="Calibri"/>
          <w:sz w:val="22"/>
          <w:szCs w:val="22"/>
          <w:color w:val="auto"/>
        </w:rPr>
        <w:t xml:space="preserve"> System ten ma na celu wsparcie realizacji opcji oraz zarządzanie ryzykiem kontrahenta, aby ułatwić rozrachunek transakcji opcjami w przypadku, gdy członek rozliczający nie wywiązuje się ze swoich zobowiązań.</w:t>
      </w:r>
      <w:r>
        <w:rPr xmlns:w="http://schemas.openxmlformats.org/wordprocessingml/2006/main">
          <w:rFonts w:ascii="Calibri" w:cs="Calibri" w:eastAsia="Calibri" w:hAnsi="Calibri"/>
          <w:sz w:val="22"/>
          <w:szCs w:val="22"/>
          <w:color w:val="auto"/>
        </w:rPr>
        <w:t xml:space="preserve"> Istnieje jednak ryzyko, że OCC może nie mieć wystarczających środków finansowych na uregulowanie zobowiązań i możesz ponieść stratę do każdej kwoty należnej.</w:t>
      </w:r>
    </w:p>
    <w:p>
      <w:pPr>
        <w:spacing w:after="0" w:line="2" w:lineRule="exact"/>
        <w:rPr>
          <w:sz w:val="20"/>
          <w:szCs w:val="20"/>
          <w:color w:val="auto"/>
        </w:rPr>
      </w:pPr>
    </w:p>
    <w:tbl>
      <w:tblPr>
        <w:tblLayout w:type="fixed"/>
        <w:tblInd w:w="120" w:type="dxa"/>
        <w:tblCellMar>
          <w:top w:w="0" w:type="dxa"/>
          <w:left w:w="0" w:type="dxa"/>
          <w:bottom w:w="0" w:type="dxa"/>
          <w:right w:w="0" w:type="dxa"/>
        </w:tblCellMar>
      </w:tblPr>
      <w:tr>
        <w:trPr>
          <w:trHeight w:val="280"/>
        </w:trPr>
        <w:tc>
          <w:tcPr>
            <w:tcW w:w="5300" w:type="dxa"/>
            <w:vAlign w:val="bottom"/>
            <w:tcBorders>
              <w:top w:val="single" w:sz="8" w:color="auto"/>
              <w:right w:val="single" w:sz="8" w:color="auto"/>
            </w:tcBorders>
          </w:tcPr>
          <w:p>
            <w:pPr xmlns:w="http://schemas.openxmlformats.org/wordprocessingml/2006/main">
              <w:ind w:left="100"/>
              <w:spacing w:after="0" w:line="257" w:lineRule="exact"/>
              <w:rPr>
                <w:sz w:val="20"/>
                <w:szCs w:val="20"/>
                <w:color w:val="auto"/>
              </w:rPr>
            </w:pPr>
            <w:r>
              <w:rPr xmlns:w="http://schemas.openxmlformats.org/wordprocessingml/2006/main">
                <w:rFonts w:ascii="Calibri" w:cs="Calibri" w:eastAsia="Calibri" w:hAnsi="Calibri"/>
                <w:sz w:val="22"/>
                <w:szCs w:val="22"/>
                <w:b w:val="1"/>
                <w:bCs w:val="1"/>
                <w:color w:val="auto"/>
              </w:rPr>
              <w:t xml:space="preserve">Jakie są koszty?</w:t>
            </w:r>
            <w:r>
              <w:rPr xmlns:w="http://schemas.openxmlformats.org/wordprocessingml/2006/main">
                <w:rFonts w:ascii="Calibri" w:cs="Calibri" w:eastAsia="Calibri" w:hAnsi="Calibri"/>
                <w:sz w:val="22"/>
                <w:szCs w:val="22"/>
                <w:color w:val="auto"/>
              </w:rPr>
              <w:t xml:space="preserve"> Osoba doradzająca lub sprzedająca</w:t>
            </w:r>
          </w:p>
        </w:tc>
        <w:tc>
          <w:tcPr>
            <w:tcW w:w="10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DADADA"/>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Koszty W Czasie</w:t>
            </w: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240" w:type="dxa"/>
            <w:vAlign w:val="bottom"/>
            <w:tcBorders>
              <w:top w:val="single" w:sz="8" w:color="auto"/>
              <w:bottom w:val="single" w:sz="8" w:color="auto"/>
            </w:tcBorders>
            <w:shd w:val="clear" w:color="auto" w:fill="DADADA"/>
          </w:tcPr>
          <w:p>
            <w:pPr>
              <w:spacing w:after="0"/>
              <w:rPr>
                <w:sz w:val="24"/>
                <w:szCs w:val="24"/>
                <w:color w:val="auto"/>
              </w:rPr>
            </w:pPr>
          </w:p>
        </w:tc>
        <w:tc>
          <w:tcPr>
            <w:tcW w:w="480" w:type="dxa"/>
            <w:vAlign w:val="bottom"/>
            <w:tcBorders>
              <w:top w:val="single" w:sz="8" w:color="auto"/>
              <w:bottom w:val="single" w:sz="8" w:color="auto"/>
            </w:tcBorders>
            <w:shd w:val="clear" w:color="auto" w:fill="DADADA"/>
          </w:tcPr>
          <w:p>
            <w:pPr>
              <w:spacing w:after="0"/>
              <w:rPr>
                <w:sz w:val="24"/>
                <w:szCs w:val="24"/>
                <w:color w:val="auto"/>
              </w:rPr>
            </w:pPr>
          </w:p>
        </w:tc>
        <w:tc>
          <w:tcPr>
            <w:tcW w:w="960" w:type="dxa"/>
            <w:vAlign w:val="bottom"/>
            <w:tcBorders>
              <w:top w:val="single" w:sz="8" w:color="auto"/>
              <w:bottom w:val="single" w:sz="8" w:color="auto"/>
            </w:tcBorders>
            <w:shd w:val="clear" w:color="auto" w:fill="DADADA"/>
          </w:tcPr>
          <w:p>
            <w:pPr>
              <w:spacing w:after="0"/>
              <w:rPr>
                <w:sz w:val="24"/>
                <w:szCs w:val="24"/>
                <w:color w:val="auto"/>
              </w:rPr>
            </w:pPr>
          </w:p>
        </w:tc>
        <w:tc>
          <w:tcPr>
            <w:tcW w:w="280" w:type="dxa"/>
            <w:vAlign w:val="bottom"/>
            <w:tcBorders>
              <w:top w:val="single" w:sz="8" w:color="auto"/>
              <w:bottom w:val="single" w:sz="8" w:color="auto"/>
            </w:tcBorders>
            <w:shd w:val="clear" w:color="auto" w:fill="DADADA"/>
          </w:tcPr>
          <w:p>
            <w:pPr>
              <w:spacing w:after="0"/>
              <w:rPr>
                <w:sz w:val="24"/>
                <w:szCs w:val="24"/>
                <w:color w:val="auto"/>
              </w:rPr>
            </w:pPr>
          </w:p>
        </w:tc>
        <w:tc>
          <w:tcPr>
            <w:tcW w:w="120" w:type="dxa"/>
            <w:vAlign w:val="bottom"/>
            <w:tcBorders>
              <w:top w:val="single" w:sz="8" w:color="auto"/>
              <w:bottom w:val="single" w:sz="8" w:color="auto"/>
              <w:right w:val="single" w:sz="8" w:color="auto"/>
            </w:tcBorders>
            <w:shd w:val="clear" w:color="auto" w:fill="DADADA"/>
          </w:tcPr>
          <w:p>
            <w:pPr>
              <w:spacing w:after="0"/>
              <w:rPr>
                <w:sz w:val="24"/>
                <w:szCs w:val="24"/>
                <w:color w:val="auto"/>
              </w:rPr>
            </w:pPr>
          </w:p>
        </w:tc>
        <w:tc>
          <w:tcPr>
            <w:tcW w:w="80" w:type="dxa"/>
            <w:vAlign w:val="bottom"/>
            <w:tcBorders>
              <w:top w:val="single" w:sz="8" w:color="auto"/>
              <w:bottom w:val="single" w:sz="8" w:color="auto"/>
            </w:tcBorders>
            <w:shd w:val="clear" w:color="auto" w:fill="DADADA"/>
          </w:tcPr>
          <w:p>
            <w:pPr>
              <w:spacing w:after="0"/>
              <w:rPr>
                <w:sz w:val="24"/>
                <w:szCs w:val="24"/>
                <w:color w:val="auto"/>
              </w:rPr>
            </w:pPr>
          </w:p>
        </w:tc>
        <w:tc>
          <w:tcPr>
            <w:tcW w:w="1440" w:type="dxa"/>
            <w:vAlign w:val="bottom"/>
            <w:tcBorders>
              <w:top w:val="single" w:sz="8" w:color="auto"/>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Zakończenie pracy</w:t>
            </w:r>
          </w:p>
        </w:tc>
        <w:tc>
          <w:tcPr>
            <w:tcW w:w="120" w:type="dxa"/>
            <w:vAlign w:val="bottom"/>
            <w:tcBorders>
              <w:top w:val="single" w:sz="8" w:color="auto"/>
            </w:tcBorders>
          </w:tcPr>
          <w:p>
            <w:pPr>
              <w:spacing w:after="0"/>
              <w:rPr>
                <w:sz w:val="24"/>
                <w:szCs w:val="24"/>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Ten produkt może obciążać Cię innymi kosztami.</w:t>
            </w:r>
            <w:r>
              <w:rPr xmlns:w="http://schemas.openxmlformats.org/wordprocessingml/2006/main">
                <w:rFonts w:ascii="Calibri" w:cs="Calibri" w:eastAsia="Calibri" w:hAnsi="Calibri"/>
                <w:sz w:val="22"/>
                <w:szCs w:val="22"/>
                <w:color w:val="auto"/>
              </w:rPr>
              <w:t xml:space="preserve"> Jeśli tak, to</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Koszty ogółem</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Różne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25" w:lineRule="exact"/>
              <w:rPr>
                <w:sz w:val="20"/>
                <w:szCs w:val="20"/>
                <w:color w:val="auto"/>
              </w:rPr>
            </w:pPr>
            <w:r>
              <w:rPr xmlns:w="http://schemas.openxmlformats.org/wordprocessingml/2006/main">
                <w:rFonts w:ascii="Calibri" w:cs="Calibri" w:eastAsia="Calibri" w:hAnsi="Calibri"/>
                <w:sz w:val="22"/>
                <w:szCs w:val="22"/>
                <w:color w:val="auto"/>
              </w:rPr>
              <w:t xml:space="preserve">osoba ta udzieli Ci informacji na ten temat</w:t>
            </w:r>
          </w:p>
        </w:tc>
        <w:tc>
          <w:tcPr>
            <w:tcW w:w="100" w:type="dxa"/>
            <w:vAlign w:val="bottom"/>
            <w:tcBorders>
              <w:bottom w:val="single" w:sz="8" w:color="auto"/>
            </w:tcBorders>
          </w:tcPr>
          <w:p>
            <w:pPr>
              <w:spacing w:after="0"/>
              <w:rPr>
                <w:sz w:val="21"/>
                <w:szCs w:val="21"/>
                <w:color w:val="auto"/>
              </w:rPr>
            </w:pPr>
          </w:p>
        </w:tc>
        <w:tc>
          <w:tcPr>
            <w:tcW w:w="1440" w:type="dxa"/>
            <w:vAlign w:val="bottom"/>
            <w:tcBorders>
              <w:bottom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w w:val="98"/>
              </w:rPr>
              <w:t xml:space="preserve">Roczny wpływ na koszty</w:t>
            </w:r>
          </w:p>
        </w:tc>
        <w:tc>
          <w:tcPr>
            <w:tcW w:w="80" w:type="dxa"/>
            <w:vAlign w:val="bottom"/>
            <w:tcBorders>
              <w:bottom w:val="single" w:sz="8" w:color="auto"/>
            </w:tcBorders>
          </w:tcPr>
          <w:p>
            <w:pPr>
              <w:spacing w:after="0"/>
              <w:rPr>
                <w:sz w:val="21"/>
                <w:szCs w:val="21"/>
                <w:color w:val="auto"/>
              </w:rPr>
            </w:pPr>
          </w:p>
        </w:tc>
        <w:tc>
          <w:tcPr>
            <w:tcW w:w="240" w:type="dxa"/>
            <w:vAlign w:val="bottom"/>
            <w:tcBorders>
              <w:bottom w:val="single" w:sz="8" w:color="auto"/>
            </w:tcBorders>
          </w:tcPr>
          <w:p>
            <w:pPr>
              <w:spacing w:after="0"/>
              <w:rPr>
                <w:sz w:val="21"/>
                <w:szCs w:val="21"/>
                <w:color w:val="auto"/>
              </w:rPr>
            </w:pPr>
          </w:p>
        </w:tc>
        <w:tc>
          <w:tcPr>
            <w:tcW w:w="480" w:type="dxa"/>
            <w:vAlign w:val="bottom"/>
            <w:tcBorders>
              <w:bottom w:val="single" w:sz="8" w:color="auto"/>
            </w:tcBorders>
          </w:tcPr>
          <w:p>
            <w:pPr>
              <w:spacing w:after="0"/>
              <w:rPr>
                <w:sz w:val="21"/>
                <w:szCs w:val="21"/>
                <w:color w:val="auto"/>
              </w:rPr>
            </w:pPr>
          </w:p>
        </w:tc>
        <w:tc>
          <w:tcPr>
            <w:tcW w:w="960" w:type="dxa"/>
            <w:vAlign w:val="bottom"/>
            <w:tcBorders>
              <w:bottom w:val="single" w:sz="8" w:color="auto"/>
            </w:tcBorders>
          </w:tcPr>
          <w:p>
            <w:pPr>
              <w:spacing w:after="0"/>
              <w:rPr>
                <w:sz w:val="21"/>
                <w:szCs w:val="21"/>
                <w:color w:val="auto"/>
              </w:rPr>
            </w:pPr>
          </w:p>
        </w:tc>
        <w:tc>
          <w:tcPr>
            <w:tcW w:w="280" w:type="dxa"/>
            <w:vAlign w:val="bottom"/>
            <w:tcBorders>
              <w:bottom w:val="single" w:sz="8" w:color="auto"/>
            </w:tcBorders>
          </w:tcPr>
          <w:p>
            <w:pPr>
              <w:spacing w:after="0"/>
              <w:rPr>
                <w:sz w:val="21"/>
                <w:szCs w:val="21"/>
                <w:color w:val="auto"/>
              </w:rPr>
            </w:pPr>
          </w:p>
        </w:tc>
        <w:tc>
          <w:tcPr>
            <w:tcW w:w="120" w:type="dxa"/>
            <w:vAlign w:val="bottom"/>
            <w:tcBorders>
              <w:bottom w:val="single" w:sz="8" w:color="auto"/>
              <w:right w:val="single" w:sz="8" w:color="auto"/>
            </w:tcBorders>
          </w:tcPr>
          <w:p>
            <w:pPr>
              <w:spacing w:after="0"/>
              <w:rPr>
                <w:sz w:val="21"/>
                <w:szCs w:val="21"/>
                <w:color w:val="auto"/>
              </w:rPr>
            </w:pPr>
          </w:p>
        </w:tc>
        <w:tc>
          <w:tcPr>
            <w:tcW w:w="80" w:type="dxa"/>
            <w:vAlign w:val="bottom"/>
            <w:tcBorders>
              <w:bottom w:val="single" w:sz="8" w:color="auto"/>
            </w:tcBorders>
          </w:tcPr>
          <w:p>
            <w:pPr>
              <w:spacing w:after="0"/>
              <w:rPr>
                <w:sz w:val="21"/>
                <w:szCs w:val="21"/>
                <w:color w:val="auto"/>
              </w:rPr>
            </w:pPr>
          </w:p>
        </w:tc>
        <w:tc>
          <w:tcPr>
            <w:tcW w:w="1440" w:type="dxa"/>
            <w:vAlign w:val="bottom"/>
            <w:tcBorders>
              <w:bottom w:val="single" w:sz="8" w:color="auto"/>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Różne</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39"/>
        </w:trPr>
        <w:tc>
          <w:tcPr>
            <w:tcW w:w="5300" w:type="dxa"/>
            <w:vAlign w:val="bottom"/>
          </w:tcPr>
          <w:p>
            <w:pPr xmlns:w="http://schemas.openxmlformats.org/wordprocessingml/2006/main">
              <w:ind w:left="100"/>
              <w:spacing w:after="0" w:line="230" w:lineRule="exact"/>
              <w:rPr>
                <w:sz w:val="20"/>
                <w:szCs w:val="20"/>
                <w:color w:val="auto"/>
              </w:rPr>
            </w:pPr>
            <w:r>
              <w:rPr xmlns:w="http://schemas.openxmlformats.org/wordprocessingml/2006/main">
                <w:rFonts w:ascii="Calibri" w:cs="Calibri" w:eastAsia="Calibri" w:hAnsi="Calibri"/>
                <w:sz w:val="22"/>
                <w:szCs w:val="22"/>
                <w:color w:val="auto"/>
              </w:rPr>
              <w:t xml:space="preserve">kosztów i ich wpływu na Twoją inwestycję.</w:t>
            </w:r>
            <w:r>
              <w:rPr xmlns:w="http://schemas.openxmlformats.org/wordprocessingml/2006/main">
                <w:rFonts w:ascii="Calibri" w:cs="Calibri" w:eastAsia="Calibri" w:hAnsi="Calibri"/>
                <w:sz w:val="22"/>
                <w:szCs w:val="22"/>
                <w:color w:val="auto"/>
              </w:rPr>
              <w:t xml:space="preserve"> Kruszywo</w:t>
            </w:r>
          </w:p>
        </w:tc>
        <w:tc>
          <w:tcPr>
            <w:tcW w:w="10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4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960" w:type="dxa"/>
            <w:vAlign w:val="bottom"/>
          </w:tcPr>
          <w:p>
            <w:pPr>
              <w:spacing w:after="0"/>
              <w:rPr>
                <w:sz w:val="20"/>
                <w:szCs w:val="20"/>
                <w:color w:val="auto"/>
              </w:rPr>
            </w:pPr>
          </w:p>
        </w:tc>
        <w:tc>
          <w:tcPr>
            <w:tcW w:w="28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144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Koszty standardowych opcji indeksowych zależą od</w:t>
            </w:r>
          </w:p>
        </w:tc>
        <w:tc>
          <w:tcPr>
            <w:tcW w:w="100" w:type="dxa"/>
            <w:vAlign w:val="bottom"/>
            <w:tcBorders>
              <w:top w:val="single" w:sz="8" w:color="auto"/>
              <w:bottom w:val="single" w:sz="8" w:color="auto"/>
            </w:tcBorders>
            <w:shd w:val="clear" w:color="auto" w:fill="DADADA"/>
          </w:tcPr>
          <w:p>
            <w:pPr>
              <w:spacing w:after="0"/>
              <w:rPr>
                <w:sz w:val="21"/>
                <w:szCs w:val="21"/>
                <w:color w:val="auto"/>
              </w:rPr>
            </w:pPr>
          </w:p>
        </w:tc>
        <w:tc>
          <w:tcPr>
            <w:tcW w:w="3600" w:type="dxa"/>
            <w:vAlign w:val="bottom"/>
            <w:tcBorders>
              <w:top w:val="single" w:sz="8" w:color="auto"/>
              <w:bottom w:val="single" w:sz="8" w:color="auto"/>
              <w:right w:val="single" w:sz="8" w:color="DADADA"/>
            </w:tcBorders>
            <w:gridSpan w:val="7"/>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b w:val="1"/>
                <w:bCs w:val="1"/>
                <w:color w:val="auto"/>
              </w:rPr>
              <w:t xml:space="preserve">Struktura kosztów</w:t>
            </w:r>
          </w:p>
        </w:tc>
        <w:tc>
          <w:tcPr>
            <w:tcW w:w="80" w:type="dxa"/>
            <w:vAlign w:val="bottom"/>
            <w:tcBorders>
              <w:top w:val="single" w:sz="8" w:color="auto"/>
              <w:bottom w:val="single" w:sz="8" w:color="auto"/>
            </w:tcBorders>
            <w:shd w:val="clear" w:color="auto" w:fill="DADADA"/>
          </w:tcPr>
          <w:p>
            <w:pPr>
              <w:spacing w:after="0"/>
              <w:rPr>
                <w:sz w:val="21"/>
                <w:szCs w:val="21"/>
                <w:color w:val="auto"/>
              </w:rPr>
            </w:pPr>
          </w:p>
        </w:tc>
        <w:tc>
          <w:tcPr>
            <w:tcW w:w="1440" w:type="dxa"/>
            <w:vAlign w:val="bottom"/>
            <w:tcBorders>
              <w:top w:val="single" w:sz="8" w:color="auto"/>
              <w:bottom w:val="single" w:sz="8" w:color="auto"/>
              <w:right w:val="single" w:sz="8" w:color="auto"/>
            </w:tcBorders>
            <w:shd w:val="clear" w:color="auto" w:fill="DADADA"/>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9"/>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wiele czynników.</w:t>
            </w:r>
            <w:r>
              <w:rPr xmlns:w="http://schemas.openxmlformats.org/wordprocessingml/2006/main">
                <w:rFonts w:ascii="Calibri" w:cs="Calibri" w:eastAsia="Calibri" w:hAnsi="Calibri"/>
                <w:sz w:val="22"/>
                <w:szCs w:val="22"/>
                <w:color w:val="auto"/>
              </w:rPr>
              <w:t xml:space="preserve"> Premia opcyjna to zapłacony koszt</w:t>
            </w:r>
          </w:p>
        </w:tc>
        <w:tc>
          <w:tcPr>
            <w:tcW w:w="100" w:type="dxa"/>
            <w:vAlign w:val="bottom"/>
            <w:tcBorders>
              <w:bottom w:val="single" w:sz="8" w:color="auto"/>
            </w:tcBorders>
            <w:shd w:val="clear" w:color="auto" w:fill="DADADA"/>
          </w:tcPr>
          <w:p>
            <w:pPr>
              <w:spacing w:after="0"/>
              <w:rPr>
                <w:sz w:val="21"/>
                <w:szCs w:val="21"/>
                <w:color w:val="auto"/>
              </w:rPr>
            </w:pPr>
          </w:p>
        </w:tc>
        <w:tc>
          <w:tcPr>
            <w:tcW w:w="3480" w:type="dxa"/>
            <w:vAlign w:val="bottom"/>
            <w:tcBorders>
              <w:bottom w:val="single" w:sz="8" w:color="auto"/>
            </w:tcBorders>
            <w:gridSpan w:val="6"/>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Jednorazowe koszty przy wjeździe lub wyjeździe</w:t>
            </w:r>
          </w:p>
        </w:tc>
        <w:tc>
          <w:tcPr>
            <w:tcW w:w="120" w:type="dxa"/>
            <w:vAlign w:val="bottom"/>
            <w:tcBorders>
              <w:bottom w:val="single" w:sz="8" w:color="auto"/>
              <w:right w:val="single" w:sz="8" w:color="auto"/>
            </w:tcBorders>
            <w:shd w:val="clear" w:color="auto" w:fill="DADADA"/>
          </w:tcPr>
          <w:p>
            <w:pPr>
              <w:spacing w:after="0"/>
              <w:rPr>
                <w:sz w:val="21"/>
                <w:szCs w:val="21"/>
                <w:color w:val="auto"/>
              </w:rPr>
            </w:pPr>
          </w:p>
        </w:tc>
        <w:tc>
          <w:tcPr>
            <w:tcW w:w="80" w:type="dxa"/>
            <w:vAlign w:val="bottom"/>
            <w:tcBorders>
              <w:bottom w:val="single" w:sz="8" w:color="auto"/>
            </w:tcBorders>
            <w:shd w:val="clear" w:color="auto" w:fill="DADADA"/>
          </w:tcPr>
          <w:p>
            <w:pPr>
              <w:spacing w:after="0"/>
              <w:rPr>
                <w:sz w:val="21"/>
                <w:szCs w:val="21"/>
                <w:color w:val="auto"/>
              </w:rPr>
            </w:pPr>
          </w:p>
        </w:tc>
        <w:tc>
          <w:tcPr>
            <w:tcW w:w="1440" w:type="dxa"/>
            <w:vAlign w:val="bottom"/>
            <w:tcBorders>
              <w:bottom w:val="single" w:sz="8" w:color="auto"/>
              <w:right w:val="single" w:sz="8" w:color="auto"/>
            </w:tcBorders>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Kwota (początkowa)</w:t>
            </w: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240"/>
        </w:trPr>
        <w:tc>
          <w:tcPr>
            <w:tcW w:w="5300" w:type="dxa"/>
            <w:vAlign w:val="bottom"/>
            <w:tcBorders>
              <w:right w:val="single" w:sz="8" w:color="auto"/>
            </w:tcBorders>
          </w:tcPr>
          <w:p>
            <w:pPr xmlns:w="http://schemas.openxmlformats.org/wordprocessingml/2006/main">
              <w:ind w:left="100"/>
              <w:spacing w:after="0" w:line="240" w:lineRule="exact"/>
              <w:rPr>
                <w:sz w:val="20"/>
                <w:szCs w:val="20"/>
                <w:color w:val="auto"/>
              </w:rPr>
            </w:pPr>
            <w:r>
              <w:rPr xmlns:w="http://schemas.openxmlformats.org/wordprocessingml/2006/main">
                <w:rFonts w:ascii="Calibri" w:cs="Calibri" w:eastAsia="Calibri" w:hAnsi="Calibri"/>
                <w:sz w:val="22"/>
                <w:szCs w:val="22"/>
                <w:color w:val="auto"/>
              </w:rPr>
              <w:t xml:space="preserve">przez posiadacza do autora.</w:t>
            </w:r>
            <w:r>
              <w:rPr xmlns:w="http://schemas.openxmlformats.org/wordprocessingml/2006/main">
                <w:rFonts w:ascii="Calibri" w:cs="Calibri" w:eastAsia="Calibri" w:hAnsi="Calibri"/>
                <w:sz w:val="22"/>
                <w:szCs w:val="22"/>
                <w:color w:val="auto"/>
              </w:rPr>
              <w:t xml:space="preserve"> Czynniki mające istotne znaczenie</w:t>
            </w:r>
          </w:p>
        </w:tc>
        <w:tc>
          <w:tcPr>
            <w:tcW w:w="10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80" w:type="dxa"/>
            <w:vAlign w:val="bottom"/>
          </w:tcPr>
          <w:p>
            <w:pPr>
              <w:spacing w:after="0"/>
              <w:rPr>
                <w:sz w:val="20"/>
                <w:szCs w:val="20"/>
                <w:color w:val="auto"/>
              </w:rPr>
            </w:pPr>
          </w:p>
        </w:tc>
        <w:tc>
          <w:tcPr>
            <w:tcW w:w="2080" w:type="dxa"/>
            <w:vAlign w:val="bottom"/>
            <w:tcBorders>
              <w:right w:val="single" w:sz="8" w:color="auto"/>
            </w:tcBorders>
            <w:gridSpan w:val="5"/>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Premia (określona przez</w:t>
            </w:r>
          </w:p>
        </w:tc>
        <w:tc>
          <w:tcPr>
            <w:tcW w:w="80" w:type="dxa"/>
            <w:vAlign w:val="bottom"/>
          </w:tcPr>
          <w:p>
            <w:pPr>
              <w:spacing w:after="0"/>
              <w:rPr>
                <w:sz w:val="20"/>
                <w:szCs w:val="20"/>
                <w:color w:val="auto"/>
              </w:rPr>
            </w:pPr>
          </w:p>
        </w:tc>
        <w:tc>
          <w:tcPr>
            <w:tcW w:w="1440" w:type="dxa"/>
            <w:vAlign w:val="bottom"/>
            <w:tcBorders>
              <w:right w:val="single" w:sz="8" w:color="auto"/>
            </w:tcBorders>
          </w:tcPr>
          <w:p>
            <w:pPr>
              <w:spacing w:after="0"/>
              <w:rPr>
                <w:sz w:val="20"/>
                <w:szCs w:val="20"/>
                <w:color w:val="auto"/>
              </w:rPr>
            </w:pP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184"/>
        </w:trPr>
        <w:tc>
          <w:tcPr>
            <w:tcW w:w="5300" w:type="dxa"/>
            <w:vAlign w:val="bottom"/>
            <w:tcBorders>
              <w:right w:val="single" w:sz="8" w:color="auto"/>
            </w:tcBorders>
            <w:vMerge w:val="restart"/>
          </w:tcPr>
          <w:p>
            <w:pPr xmlns:w="http://schemas.openxmlformats.org/wordprocessingml/2006/main">
              <w:ind w:left="100"/>
              <w:spacing w:after="0" w:line="267" w:lineRule="exact"/>
              <w:rPr>
                <w:sz w:val="20"/>
                <w:szCs w:val="20"/>
                <w:color w:val="auto"/>
              </w:rPr>
            </w:pPr>
            <w:r>
              <w:rPr xmlns:w="http://schemas.openxmlformats.org/wordprocessingml/2006/main">
                <w:rFonts w:ascii="Calibri" w:cs="Calibri" w:eastAsia="Calibri" w:hAnsi="Calibri"/>
                <w:sz w:val="22"/>
                <w:szCs w:val="22"/>
                <w:color w:val="auto"/>
              </w:rPr>
              <w:t xml:space="preserve">wpływ na składkę obejmuje między innymi,</w:t>
            </w:r>
          </w:p>
        </w:tc>
        <w:tc>
          <w:tcPr>
            <w:tcW w:w="100" w:type="dxa"/>
            <w:vAlign w:val="bottom"/>
          </w:tcPr>
          <w:p>
            <w:pPr>
              <w:spacing w:after="0"/>
              <w:rPr>
                <w:sz w:val="15"/>
                <w:szCs w:val="15"/>
                <w:color w:val="auto"/>
              </w:rPr>
            </w:pPr>
          </w:p>
        </w:tc>
        <w:tc>
          <w:tcPr>
            <w:tcW w:w="1440" w:type="dxa"/>
            <w:vAlign w:val="bottom"/>
            <w:tcBorders>
              <w:right w:val="single" w:sz="8" w:color="auto"/>
            </w:tcBorders>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Koszty wejścia (na</w:t>
            </w:r>
          </w:p>
        </w:tc>
        <w:tc>
          <w:tcPr>
            <w:tcW w:w="80" w:type="dxa"/>
            <w:vAlign w:val="bottom"/>
          </w:tcPr>
          <w:p>
            <w:pPr>
              <w:spacing w:after="0"/>
              <w:rPr>
                <w:sz w:val="15"/>
                <w:szCs w:val="15"/>
                <w:color w:val="auto"/>
              </w:rPr>
            </w:pPr>
          </w:p>
        </w:tc>
        <w:tc>
          <w:tcPr>
            <w:tcW w:w="2080" w:type="dxa"/>
            <w:vAlign w:val="bottom"/>
            <w:tcBorders>
              <w:right w:val="single" w:sz="8" w:color="auto"/>
            </w:tcBorders>
            <w:gridSpan w:val="5"/>
          </w:tcPr>
          <w:p>
            <w:pPr xmlns:w="http://schemas.openxmlformats.org/wordprocessingml/2006/main">
              <w:spacing w:after="0" w:line="184" w:lineRule="exact"/>
              <w:rPr>
                <w:sz w:val="20"/>
                <w:szCs w:val="20"/>
                <w:color w:val="auto"/>
              </w:rPr>
            </w:pPr>
            <w:r>
              <w:rPr xmlns:w="http://schemas.openxmlformats.org/wordprocessingml/2006/main">
                <w:rFonts w:ascii="Calibri" w:cs="Calibri" w:eastAsia="Calibri" w:hAnsi="Calibri"/>
                <w:sz w:val="18"/>
                <w:szCs w:val="18"/>
                <w:color w:val="auto"/>
              </w:rPr>
              <w:t xml:space="preserve">kupującego i sprzedającego),</w:t>
            </w:r>
          </w:p>
        </w:tc>
        <w:tc>
          <w:tcPr>
            <w:tcW w:w="80" w:type="dxa"/>
            <w:vAlign w:val="bottom"/>
          </w:tcPr>
          <w:p>
            <w:pPr>
              <w:spacing w:after="0"/>
              <w:rPr>
                <w:sz w:val="15"/>
                <w:szCs w:val="15"/>
                <w:color w:val="auto"/>
              </w:rPr>
            </w:pPr>
          </w:p>
        </w:tc>
        <w:tc>
          <w:tcPr>
            <w:tcW w:w="1440" w:type="dxa"/>
            <w:vAlign w:val="bottom"/>
            <w:tcBorders>
              <w:right w:val="single" w:sz="8" w:color="auto"/>
            </w:tcBorders>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83"/>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Transakcja —</w:t>
            </w:r>
          </w:p>
        </w:tc>
        <w:tc>
          <w:tcPr>
            <w:tcW w:w="80" w:type="dxa"/>
            <w:vAlign w:val="bottom"/>
          </w:tcPr>
          <w:p>
            <w:pPr>
              <w:spacing w:after="0"/>
              <w:rPr>
                <w:sz w:val="7"/>
                <w:szCs w:val="7"/>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Komisja (ustalona</w:t>
            </w: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3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wartość indeksu, czas do wygaśnięcia opcji, oraz</w:t>
            </w:r>
          </w:p>
        </w:tc>
        <w:tc>
          <w:tcPr>
            <w:tcW w:w="100" w:type="dxa"/>
            <w:vAlign w:val="bottom"/>
          </w:tcPr>
          <w:p>
            <w:pPr>
              <w:spacing w:after="0"/>
              <w:rPr>
                <w:sz w:val="12"/>
                <w:szCs w:val="12"/>
                <w:color w:val="auto"/>
              </w:rPr>
            </w:pPr>
          </w:p>
        </w:tc>
        <w:tc>
          <w:tcPr>
            <w:tcW w:w="1440" w:type="dxa"/>
            <w:vAlign w:val="bottom"/>
            <w:tcBorders>
              <w:right w:val="single" w:sz="8" w:color="auto"/>
            </w:tcBorders>
            <w:vMerge w:val="continue"/>
          </w:tcPr>
          <w:p>
            <w:pPr>
              <w:spacing w:after="0"/>
              <w:rPr>
                <w:sz w:val="12"/>
                <w:szCs w:val="12"/>
                <w:color w:val="auto"/>
              </w:rPr>
            </w:pPr>
          </w:p>
        </w:tc>
        <w:tc>
          <w:tcPr>
            <w:tcW w:w="80" w:type="dxa"/>
            <w:vAlign w:val="bottom"/>
          </w:tcPr>
          <w:p>
            <w:pPr>
              <w:spacing w:after="0"/>
              <w:rPr>
                <w:sz w:val="12"/>
                <w:szCs w:val="12"/>
                <w:color w:val="auto"/>
              </w:rPr>
            </w:pPr>
          </w:p>
        </w:tc>
        <w:tc>
          <w:tcPr>
            <w:tcW w:w="2080" w:type="dxa"/>
            <w:vAlign w:val="bottom"/>
            <w:tcBorders>
              <w:right w:val="single" w:sz="8" w:color="auto"/>
            </w:tcBorders>
            <w:gridSpan w:val="5"/>
            <w:vMerge w:val="continue"/>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131"/>
        </w:trPr>
        <w:tc>
          <w:tcPr>
            <w:tcW w:w="5300" w:type="dxa"/>
            <w:vAlign w:val="bottom"/>
            <w:tcBorders>
              <w:right w:val="single" w:sz="8" w:color="auto"/>
            </w:tcBorders>
            <w:vMerge w:val="continue"/>
          </w:tcPr>
          <w:p>
            <w:pPr>
              <w:spacing w:after="0"/>
              <w:rPr>
                <w:sz w:val="11"/>
                <w:szCs w:val="11"/>
                <w:color w:val="auto"/>
              </w:rPr>
            </w:pPr>
          </w:p>
        </w:tc>
        <w:tc>
          <w:tcPr>
            <w:tcW w:w="10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otwarcie (wejście)</w:t>
            </w:r>
          </w:p>
        </w:tc>
        <w:tc>
          <w:tcPr>
            <w:tcW w:w="80" w:type="dxa"/>
            <w:vAlign w:val="bottom"/>
          </w:tcPr>
          <w:p>
            <w:pPr>
              <w:spacing w:after="0"/>
              <w:rPr>
                <w:sz w:val="11"/>
                <w:szCs w:val="11"/>
                <w:color w:val="auto"/>
              </w:rPr>
            </w:pPr>
          </w:p>
        </w:tc>
        <w:tc>
          <w:tcPr>
            <w:tcW w:w="2080" w:type="dxa"/>
            <w:vAlign w:val="bottom"/>
            <w:tcBorders>
              <w:right w:val="single" w:sz="8" w:color="auto"/>
            </w:tcBorders>
            <w:gridSpan w:val="5"/>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przez biuro maklerskie)</w:t>
            </w:r>
          </w:p>
        </w:tc>
        <w:tc>
          <w:tcPr>
            <w:tcW w:w="80" w:type="dxa"/>
            <w:vAlign w:val="bottom"/>
          </w:tcPr>
          <w:p>
            <w:pPr>
              <w:spacing w:after="0"/>
              <w:rPr>
                <w:sz w:val="11"/>
                <w:szCs w:val="11"/>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2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10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cena wykonania.</w:t>
            </w:r>
            <w:r>
              <w:rPr xmlns:w="http://schemas.openxmlformats.org/wordprocessingml/2006/main">
                <w:rFonts w:ascii="Calibri" w:cs="Calibri" w:eastAsia="Calibri" w:hAnsi="Calibri"/>
                <w:sz w:val="22"/>
                <w:szCs w:val="22"/>
                <w:color w:val="auto"/>
              </w:rPr>
              <w:t xml:space="preserve"> Inwestowanie w opcje wymaga dodatkowych</w:t>
            </w:r>
          </w:p>
        </w:tc>
        <w:tc>
          <w:tcPr>
            <w:tcW w:w="10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2080" w:type="dxa"/>
            <w:vAlign w:val="bottom"/>
            <w:tcBorders>
              <w:bottom w:val="single" w:sz="8" w:color="auto"/>
              <w:right w:val="single" w:sz="8" w:color="auto"/>
            </w:tcBorders>
            <w:gridSpan w:val="5"/>
            <w:vMerge w:val="continue"/>
          </w:tcPr>
          <w:p>
            <w:pPr>
              <w:spacing w:after="0"/>
              <w:rPr>
                <w:sz w:val="8"/>
                <w:szCs w:val="8"/>
                <w:color w:val="auto"/>
              </w:rPr>
            </w:pPr>
          </w:p>
        </w:tc>
        <w:tc>
          <w:tcPr>
            <w:tcW w:w="80" w:type="dxa"/>
            <w:vAlign w:val="bottom"/>
            <w:tcBorders>
              <w:bottom w:val="single" w:sz="8" w:color="auto"/>
            </w:tcBorders>
          </w:tcPr>
          <w:p>
            <w:pPr>
              <w:spacing w:after="0"/>
              <w:rPr>
                <w:sz w:val="8"/>
                <w:szCs w:val="8"/>
                <w:color w:val="auto"/>
              </w:rPr>
            </w:pPr>
          </w:p>
        </w:tc>
        <w:tc>
          <w:tcPr>
            <w:tcW w:w="1440" w:type="dxa"/>
            <w:vAlign w:val="bottom"/>
            <w:tcBorders>
              <w:bottom w:val="single" w:sz="8" w:color="auto"/>
              <w:right w:val="single" w:sz="8" w:color="auto"/>
            </w:tcBorders>
            <w:vMerge w:val="continue"/>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46"/>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Koszty wyjścia (na</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59"/>
        </w:trPr>
        <w:tc>
          <w:tcPr>
            <w:tcW w:w="5300" w:type="dxa"/>
            <w:vAlign w:val="bottom"/>
            <w:tcBorders>
              <w:right w:val="single" w:sz="8" w:color="auto"/>
            </w:tcBorders>
          </w:tcPr>
          <w:p>
            <w:pPr>
              <w:spacing w:after="0"/>
              <w:rPr>
                <w:sz w:val="5"/>
                <w:szCs w:val="5"/>
                <w:color w:val="auto"/>
              </w:rPr>
            </w:pPr>
          </w:p>
        </w:tc>
        <w:tc>
          <w:tcPr>
            <w:tcW w:w="100" w:type="dxa"/>
            <w:vAlign w:val="bottom"/>
          </w:tcPr>
          <w:p>
            <w:pPr>
              <w:spacing w:after="0"/>
              <w:rPr>
                <w:sz w:val="5"/>
                <w:szCs w:val="5"/>
                <w:color w:val="auto"/>
              </w:rPr>
            </w:pPr>
          </w:p>
        </w:tc>
        <w:tc>
          <w:tcPr>
            <w:tcW w:w="1440" w:type="dxa"/>
            <w:vAlign w:val="bottom"/>
            <w:tcBorders>
              <w:right w:val="single" w:sz="8" w:color="auto"/>
            </w:tcBorders>
            <w:vMerge w:val="continue"/>
          </w:tcPr>
          <w:p>
            <w:pPr>
              <w:spacing w:after="0"/>
              <w:rPr>
                <w:sz w:val="5"/>
                <w:szCs w:val="5"/>
                <w:color w:val="auto"/>
              </w:rPr>
            </w:pPr>
          </w:p>
        </w:tc>
        <w:tc>
          <w:tcPr>
            <w:tcW w:w="80" w:type="dxa"/>
            <w:vAlign w:val="bottom"/>
          </w:tcPr>
          <w:p>
            <w:pPr>
              <w:spacing w:after="0"/>
              <w:rPr>
                <w:sz w:val="5"/>
                <w:szCs w:val="5"/>
                <w:color w:val="auto"/>
              </w:rPr>
            </w:pPr>
          </w:p>
        </w:tc>
        <w:tc>
          <w:tcPr>
            <w:tcW w:w="240" w:type="dxa"/>
            <w:vAlign w:val="bottom"/>
          </w:tcPr>
          <w:p>
            <w:pPr>
              <w:spacing w:after="0"/>
              <w:rPr>
                <w:sz w:val="5"/>
                <w:szCs w:val="5"/>
                <w:color w:val="auto"/>
              </w:rPr>
            </w:pPr>
          </w:p>
        </w:tc>
        <w:tc>
          <w:tcPr>
            <w:tcW w:w="480" w:type="dxa"/>
            <w:vAlign w:val="bottom"/>
          </w:tcPr>
          <w:p>
            <w:pPr>
              <w:spacing w:after="0"/>
              <w:rPr>
                <w:sz w:val="5"/>
                <w:szCs w:val="5"/>
                <w:color w:val="auto"/>
              </w:rPr>
            </w:pPr>
          </w:p>
        </w:tc>
        <w:tc>
          <w:tcPr>
            <w:tcW w:w="960" w:type="dxa"/>
            <w:vAlign w:val="bottom"/>
          </w:tcPr>
          <w:p>
            <w:pPr>
              <w:spacing w:after="0"/>
              <w:rPr>
                <w:sz w:val="5"/>
                <w:szCs w:val="5"/>
                <w:color w:val="auto"/>
              </w:rPr>
            </w:pPr>
          </w:p>
        </w:tc>
        <w:tc>
          <w:tcPr>
            <w:tcW w:w="280" w:type="dxa"/>
            <w:vAlign w:val="bottom"/>
          </w:tcPr>
          <w:p>
            <w:pPr>
              <w:spacing w:after="0"/>
              <w:rPr>
                <w:sz w:val="5"/>
                <w:szCs w:val="5"/>
                <w:color w:val="auto"/>
              </w:rPr>
            </w:pPr>
          </w:p>
        </w:tc>
        <w:tc>
          <w:tcPr>
            <w:tcW w:w="120" w:type="dxa"/>
            <w:vAlign w:val="bottom"/>
            <w:tcBorders>
              <w:right w:val="single" w:sz="8" w:color="auto"/>
            </w:tcBorders>
          </w:tcPr>
          <w:p>
            <w:pPr>
              <w:spacing w:after="0"/>
              <w:rPr>
                <w:sz w:val="5"/>
                <w:szCs w:val="5"/>
                <w:color w:val="auto"/>
              </w:rPr>
            </w:pPr>
          </w:p>
        </w:tc>
        <w:tc>
          <w:tcPr>
            <w:tcW w:w="80" w:type="dxa"/>
            <w:vAlign w:val="bottom"/>
          </w:tcPr>
          <w:p>
            <w:pPr>
              <w:spacing w:after="0"/>
              <w:rPr>
                <w:sz w:val="5"/>
                <w:szCs w:val="5"/>
                <w:color w:val="auto"/>
              </w:rPr>
            </w:pPr>
          </w:p>
        </w:tc>
        <w:tc>
          <w:tcPr>
            <w:tcW w:w="1440" w:type="dxa"/>
            <w:vAlign w:val="bottom"/>
            <w:tcBorders>
              <w:right w:val="single" w:sz="8" w:color="auto"/>
            </w:tcBorders>
          </w:tcPr>
          <w:p>
            <w:pPr>
              <w:spacing w:after="0"/>
              <w:rPr>
                <w:sz w:val="5"/>
                <w:szCs w:val="5"/>
                <w:color w:val="auto"/>
              </w:rPr>
            </w:pP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tcPr>
          <w:p>
            <w:pPr xmlns:w="http://schemas.openxmlformats.org/wordprocessingml/2006/main">
              <w:ind w:left="100"/>
              <w:spacing w:after="0" w:line="210" w:lineRule="exact"/>
              <w:rPr>
                <w:sz w:val="20"/>
                <w:szCs w:val="20"/>
                <w:color w:val="auto"/>
              </w:rPr>
            </w:pPr>
            <w:r>
              <w:rPr xmlns:w="http://schemas.openxmlformats.org/wordprocessingml/2006/main">
                <w:rFonts w:ascii="Calibri" w:cs="Calibri" w:eastAsia="Calibri" w:hAnsi="Calibri"/>
                <w:sz w:val="22"/>
                <w:szCs w:val="22"/>
                <w:color w:val="auto"/>
              </w:rPr>
              <w:t xml:space="preserve">koszty uwzględniające kwestie podatkowe, koszty transakcji</w:t>
            </w: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Transakcja —</w:t>
            </w:r>
          </w:p>
        </w:tc>
        <w:tc>
          <w:tcPr>
            <w:tcW w:w="80" w:type="dxa"/>
            <w:vAlign w:val="bottom"/>
          </w:tcPr>
          <w:p>
            <w:pPr>
              <w:spacing w:after="0"/>
              <w:rPr>
                <w:sz w:val="19"/>
                <w:szCs w:val="19"/>
                <w:color w:val="auto"/>
              </w:rPr>
            </w:pPr>
          </w:p>
        </w:tc>
        <w:tc>
          <w:tcPr>
            <w:tcW w:w="240" w:type="dxa"/>
            <w:vAlign w:val="bottom"/>
          </w:tcPr>
          <w:p>
            <w:pPr>
              <w:spacing w:after="0"/>
              <w:rPr>
                <w:sz w:val="19"/>
                <w:szCs w:val="19"/>
                <w:color w:val="auto"/>
              </w:rPr>
            </w:pPr>
          </w:p>
        </w:tc>
        <w:tc>
          <w:tcPr>
            <w:tcW w:w="480" w:type="dxa"/>
            <w:vAlign w:val="bottom"/>
          </w:tcPr>
          <w:p>
            <w:pPr>
              <w:spacing w:after="0"/>
              <w:rPr>
                <w:sz w:val="19"/>
                <w:szCs w:val="19"/>
                <w:color w:val="auto"/>
              </w:rPr>
            </w:pPr>
          </w:p>
        </w:tc>
        <w:tc>
          <w:tcPr>
            <w:tcW w:w="96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120" w:type="dxa"/>
            <w:vAlign w:val="bottom"/>
            <w:tcBorders>
              <w:right w:val="single" w:sz="8" w:color="auto"/>
            </w:tcBorders>
          </w:tcPr>
          <w:p>
            <w:pPr>
              <w:spacing w:after="0"/>
              <w:rPr>
                <w:sz w:val="19"/>
                <w:szCs w:val="19"/>
                <w:color w:val="auto"/>
              </w:rPr>
            </w:pP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36"/>
        </w:trPr>
        <w:tc>
          <w:tcPr>
            <w:tcW w:w="5300" w:type="dxa"/>
            <w:vAlign w:val="bottom"/>
            <w:tcBorders>
              <w:right w:val="single" w:sz="8" w:color="auto"/>
            </w:tcBorders>
          </w:tcPr>
          <w:p>
            <w:pPr xmlns:w="http://schemas.openxmlformats.org/wordprocessingml/2006/main">
              <w:ind w:left="100"/>
              <w:spacing w:after="0" w:line="234" w:lineRule="exact"/>
              <w:rPr>
                <w:sz w:val="20"/>
                <w:szCs w:val="20"/>
                <w:color w:val="auto"/>
              </w:rPr>
            </w:pPr>
            <w:r>
              <w:rPr xmlns:w="http://schemas.openxmlformats.org/wordprocessingml/2006/main">
                <w:rFonts w:ascii="Calibri" w:cs="Calibri" w:eastAsia="Calibri" w:hAnsi="Calibri"/>
                <w:sz w:val="22"/>
                <w:szCs w:val="22"/>
                <w:color w:val="auto"/>
              </w:rPr>
              <w:t xml:space="preserve">i wymogów dotyczących depozytu zabezpieczającego, które mogą mieć istotny wpływ na</w:t>
            </w:r>
          </w:p>
        </w:tc>
        <w:tc>
          <w:tcPr>
            <w:tcW w:w="10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zamykanie (wyjście)</w:t>
            </w:r>
          </w:p>
        </w:tc>
        <w:tc>
          <w:tcPr>
            <w:tcW w:w="80" w:type="dxa"/>
            <w:vAlign w:val="bottom"/>
            <w:tcBorders>
              <w:bottom w:val="single" w:sz="8" w:color="auto"/>
            </w:tcBorders>
          </w:tcPr>
          <w:p>
            <w:pPr>
              <w:spacing w:after="0"/>
              <w:rPr>
                <w:sz w:val="20"/>
                <w:szCs w:val="20"/>
                <w:color w:val="auto"/>
              </w:rPr>
            </w:pPr>
          </w:p>
        </w:tc>
        <w:tc>
          <w:tcPr>
            <w:tcW w:w="2080" w:type="dxa"/>
            <w:vAlign w:val="bottom"/>
            <w:tcBorders>
              <w:bottom w:val="single" w:sz="8" w:color="auto"/>
              <w:right w:val="single" w:sz="8" w:color="auto"/>
            </w:tcBorders>
            <w:gridSpan w:val="5"/>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Premium, Komisja</w:t>
            </w:r>
          </w:p>
        </w:tc>
        <w:tc>
          <w:tcPr>
            <w:tcW w:w="80" w:type="dxa"/>
            <w:vAlign w:val="bottom"/>
            <w:tcBorders>
              <w:bottom w:val="single" w:sz="8" w:color="auto"/>
            </w:tcBorders>
          </w:tcPr>
          <w:p>
            <w:pPr>
              <w:spacing w:after="0"/>
              <w:rPr>
                <w:sz w:val="20"/>
                <w:szCs w:val="20"/>
                <w:color w:val="auto"/>
              </w:rPr>
            </w:pPr>
          </w:p>
        </w:tc>
        <w:tc>
          <w:tcPr>
            <w:tcW w:w="1440" w:type="dxa"/>
            <w:vAlign w:val="bottom"/>
            <w:tcBorders>
              <w:bottom w:val="single" w:sz="8" w:color="auto"/>
              <w:right w:val="single" w:sz="8" w:color="auto"/>
            </w:tcBorders>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20" w:type="dxa"/>
            <w:vAlign w:val="bottom"/>
          </w:tcPr>
          <w:p>
            <w:pPr>
              <w:spacing w:after="0"/>
              <w:rPr>
                <w:sz w:val="20"/>
                <w:szCs w:val="20"/>
                <w:color w:val="auto"/>
              </w:rPr>
            </w:pPr>
          </w:p>
        </w:tc>
        <w:tc>
          <w:tcPr>
            <w:tcW w:w="0" w:type="dxa"/>
            <w:vAlign w:val="bottom"/>
          </w:tcPr>
          <w:p>
            <w:pPr>
              <w:spacing w:after="0"/>
              <w:rPr>
                <w:sz w:val="1"/>
                <w:szCs w:val="1"/>
                <w:color w:val="auto"/>
              </w:rPr>
            </w:pPr>
          </w:p>
        </w:tc>
      </w:tr>
      <w:tr>
        <w:trPr>
          <w:trHeight w:val="202"/>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zysku lub straty.</w:t>
            </w:r>
            <w:r>
              <w:rPr xmlns:w="http://schemas.openxmlformats.org/wordprocessingml/2006/main">
                <w:rFonts w:ascii="Calibri" w:cs="Calibri" w:eastAsia="Calibri" w:hAnsi="Calibri"/>
                <w:sz w:val="22"/>
                <w:szCs w:val="22"/>
                <w:color w:val="auto"/>
              </w:rPr>
              <w:t xml:space="preserve"> Na koszty transakcyjne składają się przede wszystkim</w:t>
            </w:r>
          </w:p>
        </w:tc>
        <w:tc>
          <w:tcPr>
            <w:tcW w:w="100" w:type="dxa"/>
            <w:vAlign w:val="bottom"/>
            <w:shd w:val="clear" w:color="auto" w:fill="DADADA"/>
          </w:tcPr>
          <w:p>
            <w:pPr>
              <w:spacing w:after="0"/>
              <w:rPr>
                <w:sz w:val="17"/>
                <w:szCs w:val="17"/>
                <w:color w:val="auto"/>
              </w:rPr>
            </w:pPr>
          </w:p>
        </w:tc>
        <w:tc>
          <w:tcPr>
            <w:tcW w:w="1440" w:type="dxa"/>
            <w:vAlign w:val="bottom"/>
            <w:tcBorders>
              <w:right w:val="single" w:sz="8" w:color="DADADA"/>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240" w:type="dxa"/>
            <w:vAlign w:val="bottom"/>
            <w:shd w:val="clear" w:color="auto" w:fill="DADADA"/>
          </w:tcPr>
          <w:p>
            <w:pPr>
              <w:spacing w:after="0"/>
              <w:rPr>
                <w:sz w:val="17"/>
                <w:szCs w:val="17"/>
                <w:color w:val="auto"/>
              </w:rPr>
            </w:pPr>
          </w:p>
        </w:tc>
        <w:tc>
          <w:tcPr>
            <w:tcW w:w="480" w:type="dxa"/>
            <w:vAlign w:val="bottom"/>
            <w:shd w:val="clear" w:color="auto" w:fill="DADADA"/>
          </w:tcPr>
          <w:p>
            <w:pPr>
              <w:spacing w:after="0"/>
              <w:rPr>
                <w:sz w:val="17"/>
                <w:szCs w:val="17"/>
                <w:color w:val="auto"/>
              </w:rPr>
            </w:pPr>
          </w:p>
        </w:tc>
        <w:tc>
          <w:tcPr>
            <w:tcW w:w="960" w:type="dxa"/>
            <w:vAlign w:val="bottom"/>
            <w:shd w:val="clear" w:color="auto" w:fill="DADADA"/>
          </w:tcPr>
          <w:p>
            <w:pPr>
              <w:spacing w:after="0"/>
              <w:rPr>
                <w:sz w:val="17"/>
                <w:szCs w:val="17"/>
                <w:color w:val="auto"/>
              </w:rPr>
            </w:pPr>
          </w:p>
        </w:tc>
        <w:tc>
          <w:tcPr>
            <w:tcW w:w="280" w:type="dxa"/>
            <w:vAlign w:val="bottom"/>
            <w:shd w:val="clear" w:color="auto" w:fill="DADADA"/>
          </w:tcPr>
          <w:p>
            <w:pPr>
              <w:spacing w:after="0"/>
              <w:rPr>
                <w:sz w:val="17"/>
                <w:szCs w:val="17"/>
                <w:color w:val="auto"/>
              </w:rPr>
            </w:pPr>
          </w:p>
        </w:tc>
        <w:tc>
          <w:tcPr>
            <w:tcW w:w="120" w:type="dxa"/>
            <w:vAlign w:val="bottom"/>
            <w:tcBorders>
              <w:right w:val="single" w:sz="8" w:color="auto"/>
            </w:tcBorders>
            <w:shd w:val="clear" w:color="auto" w:fill="DADADA"/>
          </w:tcPr>
          <w:p>
            <w:pPr>
              <w:spacing w:after="0"/>
              <w:rPr>
                <w:sz w:val="17"/>
                <w:szCs w:val="17"/>
                <w:color w:val="auto"/>
              </w:rPr>
            </w:pPr>
          </w:p>
        </w:tc>
        <w:tc>
          <w:tcPr>
            <w:tcW w:w="80" w:type="dxa"/>
            <w:vAlign w:val="bottom"/>
            <w:shd w:val="clear" w:color="auto" w:fill="DADADA"/>
          </w:tcPr>
          <w:p>
            <w:pPr>
              <w:spacing w:after="0"/>
              <w:rPr>
                <w:sz w:val="17"/>
                <w:szCs w:val="17"/>
                <w:color w:val="auto"/>
              </w:rPr>
            </w:pPr>
          </w:p>
        </w:tc>
        <w:tc>
          <w:tcPr>
            <w:tcW w:w="1440" w:type="dxa"/>
            <w:vAlign w:val="bottom"/>
            <w:tcBorders>
              <w:right w:val="single" w:sz="8" w:color="auto"/>
            </w:tcBorders>
            <w:shd w:val="clear" w:color="auto" w:fill="DADADA"/>
          </w:tcPr>
          <w:p>
            <w:pPr xmlns:w="http://schemas.openxmlformats.org/wordprocessingml/2006/main">
              <w:spacing w:after="0" w:line="203" w:lineRule="exact"/>
              <w:rPr>
                <w:sz w:val="20"/>
                <w:szCs w:val="20"/>
                <w:color w:val="auto"/>
              </w:rPr>
            </w:pPr>
            <w:r>
              <w:rPr xmlns:w="http://schemas.openxmlformats.org/wordprocessingml/2006/main">
                <w:rFonts w:ascii="Calibri" w:cs="Calibri" w:eastAsia="Calibri" w:hAnsi="Calibri"/>
                <w:sz w:val="18"/>
                <w:szCs w:val="18"/>
                <w:color w:val="auto"/>
              </w:rPr>
              <w:t xml:space="preserve">Kwota (w dowolnej</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68"/>
        </w:trPr>
        <w:tc>
          <w:tcPr>
            <w:tcW w:w="5300" w:type="dxa"/>
            <w:vAlign w:val="bottom"/>
            <w:tcBorders>
              <w:right w:val="single" w:sz="8" w:color="auto"/>
            </w:tcBorders>
            <w:vMerge w:val="continue"/>
          </w:tcPr>
          <w:p>
            <w:pPr>
              <w:spacing w:after="0"/>
              <w:rPr>
                <w:sz w:val="5"/>
                <w:szCs w:val="5"/>
                <w:color w:val="auto"/>
              </w:rPr>
            </w:pPr>
          </w:p>
        </w:tc>
        <w:tc>
          <w:tcPr>
            <w:tcW w:w="100" w:type="dxa"/>
            <w:vAlign w:val="bottom"/>
            <w:shd w:val="clear" w:color="auto" w:fill="DADADA"/>
          </w:tcPr>
          <w:p>
            <w:pPr>
              <w:spacing w:after="0"/>
              <w:rPr>
                <w:sz w:val="5"/>
                <w:szCs w:val="5"/>
                <w:color w:val="auto"/>
              </w:rPr>
            </w:pPr>
          </w:p>
        </w:tc>
        <w:tc>
          <w:tcPr>
            <w:tcW w:w="1440" w:type="dxa"/>
            <w:vAlign w:val="bottom"/>
            <w:tcBorders>
              <w:right w:val="single" w:sz="8" w:color="DADADA"/>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Koszty Bieżące</w:t>
            </w:r>
          </w:p>
        </w:tc>
        <w:tc>
          <w:tcPr>
            <w:tcW w:w="80" w:type="dxa"/>
            <w:vAlign w:val="bottom"/>
            <w:shd w:val="clear" w:color="auto" w:fill="DADADA"/>
          </w:tcPr>
          <w:p>
            <w:pPr>
              <w:spacing w:after="0"/>
              <w:rPr>
                <w:sz w:val="5"/>
                <w:szCs w:val="5"/>
                <w:color w:val="auto"/>
              </w:rPr>
            </w:pPr>
          </w:p>
        </w:tc>
        <w:tc>
          <w:tcPr>
            <w:tcW w:w="240" w:type="dxa"/>
            <w:vAlign w:val="bottom"/>
            <w:shd w:val="clear" w:color="auto" w:fill="DADADA"/>
          </w:tcPr>
          <w:p>
            <w:pPr>
              <w:spacing w:after="0"/>
              <w:rPr>
                <w:sz w:val="5"/>
                <w:szCs w:val="5"/>
                <w:color w:val="auto"/>
              </w:rPr>
            </w:pPr>
          </w:p>
        </w:tc>
        <w:tc>
          <w:tcPr>
            <w:tcW w:w="480" w:type="dxa"/>
            <w:vAlign w:val="bottom"/>
            <w:shd w:val="clear" w:color="auto" w:fill="DADADA"/>
          </w:tcPr>
          <w:p>
            <w:pPr>
              <w:spacing w:after="0"/>
              <w:rPr>
                <w:sz w:val="5"/>
                <w:szCs w:val="5"/>
                <w:color w:val="auto"/>
              </w:rPr>
            </w:pPr>
          </w:p>
        </w:tc>
        <w:tc>
          <w:tcPr>
            <w:tcW w:w="960" w:type="dxa"/>
            <w:vAlign w:val="bottom"/>
            <w:shd w:val="clear" w:color="auto" w:fill="DADADA"/>
          </w:tcPr>
          <w:p>
            <w:pPr>
              <w:spacing w:after="0"/>
              <w:rPr>
                <w:sz w:val="5"/>
                <w:szCs w:val="5"/>
                <w:color w:val="auto"/>
              </w:rPr>
            </w:pPr>
          </w:p>
        </w:tc>
        <w:tc>
          <w:tcPr>
            <w:tcW w:w="280" w:type="dxa"/>
            <w:vAlign w:val="bottom"/>
            <w:shd w:val="clear" w:color="auto" w:fill="DADADA"/>
          </w:tcPr>
          <w:p>
            <w:pPr>
              <w:spacing w:after="0"/>
              <w:rPr>
                <w:sz w:val="5"/>
                <w:szCs w:val="5"/>
                <w:color w:val="auto"/>
              </w:rPr>
            </w:pPr>
          </w:p>
        </w:tc>
        <w:tc>
          <w:tcPr>
            <w:tcW w:w="120" w:type="dxa"/>
            <w:vAlign w:val="bottom"/>
            <w:tcBorders>
              <w:right w:val="single" w:sz="8" w:color="auto"/>
            </w:tcBorders>
            <w:shd w:val="clear" w:color="auto" w:fill="DADADA"/>
          </w:tcPr>
          <w:p>
            <w:pPr>
              <w:spacing w:after="0"/>
              <w:rPr>
                <w:sz w:val="5"/>
                <w:szCs w:val="5"/>
                <w:color w:val="auto"/>
              </w:rPr>
            </w:pPr>
          </w:p>
        </w:tc>
        <w:tc>
          <w:tcPr>
            <w:tcW w:w="80" w:type="dxa"/>
            <w:vAlign w:val="bottom"/>
            <w:shd w:val="clear" w:color="auto" w:fill="DADADA"/>
          </w:tcPr>
          <w:p>
            <w:pPr>
              <w:spacing w:after="0"/>
              <w:rPr>
                <w:sz w:val="5"/>
                <w:szCs w:val="5"/>
                <w:color w:val="auto"/>
              </w:rPr>
            </w:pPr>
          </w:p>
        </w:tc>
        <w:tc>
          <w:tcPr>
            <w:tcW w:w="1440" w:type="dxa"/>
            <w:vAlign w:val="bottom"/>
            <w:tcBorders>
              <w:right w:val="single" w:sz="8" w:color="auto"/>
            </w:tcBorders>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czasu)</w:t>
            </w:r>
          </w:p>
        </w:tc>
        <w:tc>
          <w:tcPr>
            <w:tcW w:w="12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168"/>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prowizje (nakładane przy otwieraniu, zamykaniu,</w:t>
            </w:r>
          </w:p>
        </w:tc>
        <w:tc>
          <w:tcPr>
            <w:tcW w:w="10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DADADA"/>
            </w:tcBorders>
            <w:vMerge w:val="continue"/>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240" w:type="dxa"/>
            <w:vAlign w:val="bottom"/>
            <w:tcBorders>
              <w:bottom w:val="single" w:sz="8" w:color="auto"/>
            </w:tcBorders>
            <w:shd w:val="clear" w:color="auto" w:fill="DADADA"/>
          </w:tcPr>
          <w:p>
            <w:pPr>
              <w:spacing w:after="0"/>
              <w:rPr>
                <w:sz w:val="14"/>
                <w:szCs w:val="14"/>
                <w:color w:val="auto"/>
              </w:rPr>
            </w:pPr>
          </w:p>
        </w:tc>
        <w:tc>
          <w:tcPr>
            <w:tcW w:w="480" w:type="dxa"/>
            <w:vAlign w:val="bottom"/>
            <w:tcBorders>
              <w:bottom w:val="single" w:sz="8" w:color="auto"/>
            </w:tcBorders>
            <w:shd w:val="clear" w:color="auto" w:fill="DADADA"/>
          </w:tcPr>
          <w:p>
            <w:pPr>
              <w:spacing w:after="0"/>
              <w:rPr>
                <w:sz w:val="14"/>
                <w:szCs w:val="14"/>
                <w:color w:val="auto"/>
              </w:rPr>
            </w:pPr>
          </w:p>
        </w:tc>
        <w:tc>
          <w:tcPr>
            <w:tcW w:w="960" w:type="dxa"/>
            <w:vAlign w:val="bottom"/>
            <w:tcBorders>
              <w:bottom w:val="single" w:sz="8" w:color="auto"/>
            </w:tcBorders>
            <w:shd w:val="clear" w:color="auto" w:fill="DADADA"/>
          </w:tcPr>
          <w:p>
            <w:pPr>
              <w:spacing w:after="0"/>
              <w:rPr>
                <w:sz w:val="14"/>
                <w:szCs w:val="14"/>
                <w:color w:val="auto"/>
              </w:rPr>
            </w:pPr>
          </w:p>
        </w:tc>
        <w:tc>
          <w:tcPr>
            <w:tcW w:w="280" w:type="dxa"/>
            <w:vAlign w:val="bottom"/>
            <w:tcBorders>
              <w:bottom w:val="single" w:sz="8" w:color="auto"/>
            </w:tcBorders>
            <w:shd w:val="clear" w:color="auto" w:fill="DADADA"/>
          </w:tcPr>
          <w:p>
            <w:pPr>
              <w:spacing w:after="0"/>
              <w:rPr>
                <w:sz w:val="14"/>
                <w:szCs w:val="14"/>
                <w:color w:val="auto"/>
              </w:rPr>
            </w:pPr>
          </w:p>
        </w:tc>
        <w:tc>
          <w:tcPr>
            <w:tcW w:w="120" w:type="dxa"/>
            <w:vAlign w:val="bottom"/>
            <w:tcBorders>
              <w:bottom w:val="single" w:sz="8" w:color="auto"/>
              <w:right w:val="single" w:sz="8" w:color="auto"/>
            </w:tcBorders>
            <w:shd w:val="clear" w:color="auto" w:fill="DADADA"/>
          </w:tcPr>
          <w:p>
            <w:pPr>
              <w:spacing w:after="0"/>
              <w:rPr>
                <w:sz w:val="14"/>
                <w:szCs w:val="14"/>
                <w:color w:val="auto"/>
              </w:rPr>
            </w:pPr>
          </w:p>
        </w:tc>
        <w:tc>
          <w:tcPr>
            <w:tcW w:w="80" w:type="dxa"/>
            <w:vAlign w:val="bottom"/>
            <w:tcBorders>
              <w:bottom w:val="single" w:sz="8" w:color="auto"/>
            </w:tcBorders>
            <w:shd w:val="clear" w:color="auto" w:fill="DADADA"/>
          </w:tcPr>
          <w:p>
            <w:pPr>
              <w:spacing w:after="0"/>
              <w:rPr>
                <w:sz w:val="14"/>
                <w:szCs w:val="14"/>
                <w:color w:val="auto"/>
              </w:rPr>
            </w:pPr>
          </w:p>
        </w:tc>
        <w:tc>
          <w:tcPr>
            <w:tcW w:w="1440" w:type="dxa"/>
            <w:vAlign w:val="bottom"/>
            <w:tcBorders>
              <w:bottom w:val="single" w:sz="8" w:color="auto"/>
              <w:right w:val="single" w:sz="8" w:color="auto"/>
            </w:tcBorders>
            <w:vMerge w:val="continue"/>
            <w:shd w:val="clear" w:color="auto" w:fill="DADADA"/>
          </w:tcPr>
          <w:p>
            <w:pPr>
              <w:spacing w:after="0"/>
              <w:rPr>
                <w:sz w:val="14"/>
                <w:szCs w:val="14"/>
                <w:color w:val="auto"/>
              </w:rPr>
            </w:pP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81"/>
        </w:trPr>
        <w:tc>
          <w:tcPr>
            <w:tcW w:w="5300" w:type="dxa"/>
            <w:vAlign w:val="bottom"/>
            <w:tcBorders>
              <w:right w:val="single" w:sz="8" w:color="auto"/>
            </w:tcBorders>
            <w:vMerge w:val="continue"/>
          </w:tcPr>
          <w:p>
            <w:pPr>
              <w:spacing w:after="0"/>
              <w:rPr>
                <w:sz w:val="7"/>
                <w:szCs w:val="7"/>
                <w:color w:val="auto"/>
              </w:rPr>
            </w:pPr>
          </w:p>
        </w:tc>
        <w:tc>
          <w:tcPr>
            <w:tcW w:w="100" w:type="dxa"/>
            <w:vAlign w:val="bottom"/>
          </w:tcPr>
          <w:p>
            <w:pPr>
              <w:spacing w:after="0"/>
              <w:rPr>
                <w:sz w:val="7"/>
                <w:szCs w:val="7"/>
                <w:color w:val="auto"/>
              </w:rPr>
            </w:pPr>
          </w:p>
        </w:tc>
        <w:tc>
          <w:tcPr>
            <w:tcW w:w="1440" w:type="dxa"/>
            <w:vAlign w:val="bottom"/>
            <w:tcBorders>
              <w:right w:val="single" w:sz="8" w:color="auto"/>
            </w:tcBorders>
            <w:vMerge w:val="restart"/>
          </w:tcPr>
          <w:p>
            <w:pPr xmlns:w="http://schemas.openxmlformats.org/wordprocessingml/2006/main">
              <w:spacing w:after="0" w:line="205" w:lineRule="exact"/>
              <w:rPr>
                <w:sz w:val="20"/>
                <w:szCs w:val="20"/>
                <w:color w:val="auto"/>
              </w:rPr>
            </w:pPr>
            <w:r>
              <w:rPr xmlns:w="http://schemas.openxmlformats.org/wordprocessingml/2006/main">
                <w:rFonts w:ascii="Calibri" w:cs="Calibri" w:eastAsia="Calibri" w:hAnsi="Calibri"/>
                <w:sz w:val="18"/>
                <w:szCs w:val="18"/>
                <w:color w:val="auto"/>
              </w:rPr>
              <w:t xml:space="preserve">Zarządzanie</w:t>
            </w:r>
          </w:p>
        </w:tc>
        <w:tc>
          <w:tcPr>
            <w:tcW w:w="80" w:type="dxa"/>
            <w:vAlign w:val="bottom"/>
          </w:tcPr>
          <w:p>
            <w:pPr>
              <w:spacing w:after="0"/>
              <w:rPr>
                <w:sz w:val="7"/>
                <w:szCs w:val="7"/>
                <w:color w:val="auto"/>
              </w:rPr>
            </w:pPr>
          </w:p>
        </w:tc>
        <w:tc>
          <w:tcPr>
            <w:tcW w:w="240" w:type="dxa"/>
            <w:vAlign w:val="bottom"/>
          </w:tcPr>
          <w:p>
            <w:pPr>
              <w:spacing w:after="0"/>
              <w:rPr>
                <w:sz w:val="7"/>
                <w:szCs w:val="7"/>
                <w:color w:val="auto"/>
              </w:rPr>
            </w:pPr>
          </w:p>
        </w:tc>
        <w:tc>
          <w:tcPr>
            <w:tcW w:w="480" w:type="dxa"/>
            <w:vAlign w:val="bottom"/>
          </w:tcPr>
          <w:p>
            <w:pPr>
              <w:spacing w:after="0"/>
              <w:rPr>
                <w:sz w:val="7"/>
                <w:szCs w:val="7"/>
                <w:color w:val="auto"/>
              </w:rPr>
            </w:pPr>
          </w:p>
        </w:tc>
        <w:tc>
          <w:tcPr>
            <w:tcW w:w="960" w:type="dxa"/>
            <w:vAlign w:val="bottom"/>
          </w:tcPr>
          <w:p>
            <w:pPr>
              <w:spacing w:after="0"/>
              <w:rPr>
                <w:sz w:val="7"/>
                <w:szCs w:val="7"/>
                <w:color w:val="auto"/>
              </w:rPr>
            </w:pPr>
          </w:p>
        </w:tc>
        <w:tc>
          <w:tcPr>
            <w:tcW w:w="280" w:type="dxa"/>
            <w:vAlign w:val="bottom"/>
          </w:tcPr>
          <w:p>
            <w:pPr>
              <w:spacing w:after="0"/>
              <w:rPr>
                <w:sz w:val="7"/>
                <w:szCs w:val="7"/>
                <w:color w:val="auto"/>
              </w:rPr>
            </w:pPr>
          </w:p>
        </w:tc>
        <w:tc>
          <w:tcPr>
            <w:tcW w:w="120" w:type="dxa"/>
            <w:vAlign w:val="bottom"/>
            <w:tcBorders>
              <w:right w:val="single" w:sz="8" w:color="auto"/>
            </w:tcBorders>
          </w:tcPr>
          <w:p>
            <w:pPr>
              <w:spacing w:after="0"/>
              <w:rPr>
                <w:sz w:val="7"/>
                <w:szCs w:val="7"/>
                <w:color w:val="auto"/>
              </w:rPr>
            </w:pPr>
          </w:p>
        </w:tc>
        <w:tc>
          <w:tcPr>
            <w:tcW w:w="80" w:type="dxa"/>
            <w:vAlign w:val="bottom"/>
          </w:tcPr>
          <w:p>
            <w:pPr>
              <w:spacing w:after="0"/>
              <w:rPr>
                <w:sz w:val="7"/>
                <w:szCs w:val="7"/>
                <w:color w:val="auto"/>
              </w:rPr>
            </w:pPr>
          </w:p>
        </w:tc>
        <w:tc>
          <w:tcPr>
            <w:tcW w:w="1440" w:type="dxa"/>
            <w:vAlign w:val="bottom"/>
            <w:tcBorders>
              <w:right w:val="single" w:sz="8" w:color="auto"/>
            </w:tcBorders>
          </w:tcPr>
          <w:p>
            <w:pPr>
              <w:spacing w:after="0"/>
              <w:rPr>
                <w:sz w:val="7"/>
                <w:szCs w:val="7"/>
                <w:color w:val="auto"/>
              </w:rPr>
            </w:pPr>
          </w:p>
        </w:tc>
        <w:tc>
          <w:tcPr>
            <w:tcW w:w="120" w:type="dxa"/>
            <w:vAlign w:val="bottom"/>
          </w:tcPr>
          <w:p>
            <w:pPr>
              <w:spacing w:after="0"/>
              <w:rPr>
                <w:sz w:val="7"/>
                <w:szCs w:val="7"/>
                <w:color w:val="auto"/>
              </w:rPr>
            </w:pPr>
          </w:p>
        </w:tc>
        <w:tc>
          <w:tcPr>
            <w:tcW w:w="0" w:type="dxa"/>
            <w:vAlign w:val="bottom"/>
          </w:tcPr>
          <w:p>
            <w:pPr>
              <w:spacing w:after="0"/>
              <w:rPr>
                <w:sz w:val="1"/>
                <w:szCs w:val="1"/>
                <w:color w:val="auto"/>
              </w:rPr>
            </w:pPr>
          </w:p>
        </w:tc>
      </w:tr>
      <w:tr>
        <w:trPr>
          <w:trHeight w:val="124"/>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wykonania i cesji), ale może również</w:t>
            </w:r>
          </w:p>
        </w:tc>
        <w:tc>
          <w:tcPr>
            <w:tcW w:w="100" w:type="dxa"/>
            <w:vAlign w:val="bottom"/>
          </w:tcPr>
          <w:p>
            <w:pPr>
              <w:spacing w:after="0"/>
              <w:rPr>
                <w:sz w:val="10"/>
                <w:szCs w:val="10"/>
                <w:color w:val="auto"/>
              </w:rPr>
            </w:pPr>
          </w:p>
        </w:tc>
        <w:tc>
          <w:tcPr>
            <w:tcW w:w="1440" w:type="dxa"/>
            <w:vAlign w:val="bottom"/>
            <w:tcBorders>
              <w:right w:val="single" w:sz="8" w:color="auto"/>
            </w:tcBorders>
            <w:vMerge w:val="continue"/>
          </w:tcPr>
          <w:p>
            <w:pPr>
              <w:spacing w:after="0"/>
              <w:rPr>
                <w:sz w:val="10"/>
                <w:szCs w:val="10"/>
                <w:color w:val="auto"/>
              </w:rPr>
            </w:pPr>
          </w:p>
        </w:tc>
        <w:tc>
          <w:tcPr>
            <w:tcW w:w="80" w:type="dxa"/>
            <w:vAlign w:val="bottom"/>
          </w:tcPr>
          <w:p>
            <w:pPr>
              <w:spacing w:after="0"/>
              <w:rPr>
                <w:sz w:val="10"/>
                <w:szCs w:val="10"/>
                <w:color w:val="auto"/>
              </w:rPr>
            </w:pPr>
          </w:p>
        </w:tc>
        <w:tc>
          <w:tcPr>
            <w:tcW w:w="240" w:type="dxa"/>
            <w:vAlign w:val="bottom"/>
          </w:tcPr>
          <w:p>
            <w:pPr>
              <w:spacing w:after="0"/>
              <w:rPr>
                <w:sz w:val="10"/>
                <w:szCs w:val="10"/>
                <w:color w:val="auto"/>
              </w:rPr>
            </w:pPr>
          </w:p>
        </w:tc>
        <w:tc>
          <w:tcPr>
            <w:tcW w:w="480" w:type="dxa"/>
            <w:vAlign w:val="bottom"/>
          </w:tcPr>
          <w:p>
            <w:pPr>
              <w:spacing w:after="0"/>
              <w:rPr>
                <w:sz w:val="10"/>
                <w:szCs w:val="10"/>
                <w:color w:val="auto"/>
              </w:rPr>
            </w:pPr>
          </w:p>
        </w:tc>
        <w:tc>
          <w:tcPr>
            <w:tcW w:w="960" w:type="dxa"/>
            <w:vAlign w:val="bottom"/>
          </w:tcPr>
          <w:p>
            <w:pPr>
              <w:spacing w:after="0"/>
              <w:rPr>
                <w:sz w:val="10"/>
                <w:szCs w:val="10"/>
                <w:color w:val="auto"/>
              </w:rPr>
            </w:pPr>
          </w:p>
        </w:tc>
        <w:tc>
          <w:tcPr>
            <w:tcW w:w="280" w:type="dxa"/>
            <w:vAlign w:val="bottom"/>
          </w:tcPr>
          <w:p>
            <w:pPr>
              <w:spacing w:after="0"/>
              <w:rPr>
                <w:sz w:val="10"/>
                <w:szCs w:val="10"/>
                <w:color w:val="auto"/>
              </w:rPr>
            </w:pPr>
          </w:p>
        </w:tc>
        <w:tc>
          <w:tcPr>
            <w:tcW w:w="120" w:type="dxa"/>
            <w:vAlign w:val="bottom"/>
            <w:tcBorders>
              <w:right w:val="single" w:sz="8" w:color="auto"/>
            </w:tcBorders>
          </w:tcPr>
          <w:p>
            <w:pPr>
              <w:spacing w:after="0"/>
              <w:rPr>
                <w:sz w:val="10"/>
                <w:szCs w:val="10"/>
                <w:color w:val="auto"/>
              </w:rPr>
            </w:pPr>
          </w:p>
        </w:tc>
        <w:tc>
          <w:tcPr>
            <w:tcW w:w="80" w:type="dxa"/>
            <w:vAlign w:val="bottom"/>
          </w:tcPr>
          <w:p>
            <w:pPr>
              <w:spacing w:after="0"/>
              <w:rPr>
                <w:sz w:val="10"/>
                <w:szCs w:val="10"/>
                <w:color w:val="auto"/>
              </w:rPr>
            </w:pPr>
          </w:p>
        </w:tc>
        <w:tc>
          <w:tcPr>
            <w:tcW w:w="1440" w:type="dxa"/>
            <w:vAlign w:val="bottom"/>
            <w:tcBorders>
              <w:right w:val="single" w:sz="8" w:color="auto"/>
            </w:tcBorders>
          </w:tcPr>
          <w:p>
            <w:pPr>
              <w:spacing w:after="0"/>
              <w:rPr>
                <w:sz w:val="10"/>
                <w:szCs w:val="10"/>
                <w:color w:val="auto"/>
              </w:rPr>
            </w:pPr>
          </w:p>
        </w:tc>
        <w:tc>
          <w:tcPr>
            <w:tcW w:w="12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145"/>
        </w:trPr>
        <w:tc>
          <w:tcPr>
            <w:tcW w:w="5300" w:type="dxa"/>
            <w:vAlign w:val="bottom"/>
            <w:tcBorders>
              <w:right w:val="single" w:sz="8" w:color="auto"/>
            </w:tcBorders>
            <w:vMerge w:val="continue"/>
          </w:tcPr>
          <w:p>
            <w:pPr>
              <w:spacing w:after="0"/>
              <w:rPr>
                <w:sz w:val="12"/>
                <w:szCs w:val="12"/>
                <w:color w:val="auto"/>
              </w:rPr>
            </w:pPr>
          </w:p>
        </w:tc>
        <w:tc>
          <w:tcPr>
            <w:tcW w:w="100" w:type="dxa"/>
            <w:vAlign w:val="bottom"/>
          </w:tcPr>
          <w:p>
            <w:pPr>
              <w:spacing w:after="0"/>
              <w:rPr>
                <w:sz w:val="12"/>
                <w:szCs w:val="12"/>
                <w:color w:val="auto"/>
              </w:rPr>
            </w:pPr>
          </w:p>
        </w:tc>
        <w:tc>
          <w:tcPr>
            <w:tcW w:w="1440" w:type="dxa"/>
            <w:vAlign w:val="bottom"/>
            <w:tcBorders>
              <w:right w:val="single" w:sz="8" w:color="auto"/>
            </w:tcBorders>
            <w:vMerge w:val="restart"/>
          </w:tcPr>
          <w:p>
            <w:pPr xmlns:w="http://schemas.openxmlformats.org/wordprocessingml/2006/main">
              <w:spacing w:after="0" w:line="218" w:lineRule="exact"/>
              <w:rPr>
                <w:sz w:val="20"/>
                <w:szCs w:val="20"/>
                <w:color w:val="auto"/>
              </w:rPr>
            </w:pPr>
            <w:r>
              <w:rPr xmlns:w="http://schemas.openxmlformats.org/wordprocessingml/2006/main">
                <w:rFonts w:ascii="Calibri" w:cs="Calibri" w:eastAsia="Calibri" w:hAnsi="Calibri"/>
                <w:sz w:val="18"/>
                <w:szCs w:val="18"/>
                <w:color w:val="auto"/>
              </w:rPr>
              <w:t xml:space="preserve">Opłaty i inne</w:t>
            </w:r>
          </w:p>
        </w:tc>
        <w:tc>
          <w:tcPr>
            <w:tcW w:w="80" w:type="dxa"/>
            <w:vAlign w:val="bottom"/>
          </w:tcPr>
          <w:p>
            <w:pPr>
              <w:spacing w:after="0"/>
              <w:rPr>
                <w:sz w:val="12"/>
                <w:szCs w:val="12"/>
                <w:color w:val="auto"/>
              </w:rPr>
            </w:pPr>
          </w:p>
        </w:tc>
        <w:tc>
          <w:tcPr>
            <w:tcW w:w="240" w:type="dxa"/>
            <w:vAlign w:val="bottom"/>
          </w:tcPr>
          <w:p>
            <w:pPr>
              <w:spacing w:after="0"/>
              <w:rPr>
                <w:sz w:val="12"/>
                <w:szCs w:val="12"/>
                <w:color w:val="auto"/>
              </w:rPr>
            </w:pPr>
          </w:p>
        </w:tc>
        <w:tc>
          <w:tcPr>
            <w:tcW w:w="480" w:type="dxa"/>
            <w:vAlign w:val="bottom"/>
          </w:tcPr>
          <w:p>
            <w:pPr>
              <w:spacing w:after="0"/>
              <w:rPr>
                <w:sz w:val="12"/>
                <w:szCs w:val="12"/>
                <w:color w:val="auto"/>
              </w:rPr>
            </w:pPr>
          </w:p>
        </w:tc>
        <w:tc>
          <w:tcPr>
            <w:tcW w:w="960" w:type="dxa"/>
            <w:vAlign w:val="bottom"/>
          </w:tcPr>
          <w:p>
            <w:pPr>
              <w:spacing w:after="0"/>
              <w:rPr>
                <w:sz w:val="12"/>
                <w:szCs w:val="12"/>
                <w:color w:val="auto"/>
              </w:rPr>
            </w:pPr>
          </w:p>
        </w:tc>
        <w:tc>
          <w:tcPr>
            <w:tcW w:w="280" w:type="dxa"/>
            <w:vAlign w:val="bottom"/>
          </w:tcPr>
          <w:p>
            <w:pPr>
              <w:spacing w:after="0"/>
              <w:rPr>
                <w:sz w:val="12"/>
                <w:szCs w:val="12"/>
                <w:color w:val="auto"/>
              </w:rPr>
            </w:pPr>
          </w:p>
        </w:tc>
        <w:tc>
          <w:tcPr>
            <w:tcW w:w="120" w:type="dxa"/>
            <w:vAlign w:val="bottom"/>
            <w:tcBorders>
              <w:right w:val="single" w:sz="8" w:color="auto"/>
            </w:tcBorders>
          </w:tcPr>
          <w:p>
            <w:pPr>
              <w:spacing w:after="0"/>
              <w:rPr>
                <w:sz w:val="12"/>
                <w:szCs w:val="12"/>
                <w:color w:val="auto"/>
              </w:rPr>
            </w:pPr>
          </w:p>
        </w:tc>
        <w:tc>
          <w:tcPr>
            <w:tcW w:w="80" w:type="dxa"/>
            <w:vAlign w:val="bottom"/>
          </w:tcPr>
          <w:p>
            <w:pPr>
              <w:spacing w:after="0"/>
              <w:rPr>
                <w:sz w:val="12"/>
                <w:szCs w:val="12"/>
                <w:color w:val="auto"/>
              </w:rPr>
            </w:pPr>
          </w:p>
        </w:tc>
        <w:tc>
          <w:tcPr>
            <w:tcW w:w="1440" w:type="dxa"/>
            <w:vAlign w:val="bottom"/>
            <w:tcBorders>
              <w:right w:val="single" w:sz="8" w:color="auto"/>
            </w:tcBorders>
          </w:tcPr>
          <w:p>
            <w:pPr>
              <w:spacing w:after="0"/>
              <w:rPr>
                <w:sz w:val="12"/>
                <w:szCs w:val="12"/>
                <w:color w:val="auto"/>
              </w:rPr>
            </w:pPr>
          </w:p>
        </w:tc>
        <w:tc>
          <w:tcPr>
            <w:tcW w:w="120" w:type="dxa"/>
            <w:vAlign w:val="bottom"/>
          </w:tcPr>
          <w:p>
            <w:pPr>
              <w:spacing w:after="0"/>
              <w:rPr>
                <w:sz w:val="12"/>
                <w:szCs w:val="12"/>
                <w:color w:val="auto"/>
              </w:rPr>
            </w:pPr>
          </w:p>
        </w:tc>
        <w:tc>
          <w:tcPr>
            <w:tcW w:w="0" w:type="dxa"/>
            <w:vAlign w:val="bottom"/>
          </w:tcPr>
          <w:p>
            <w:pPr>
              <w:spacing w:after="0"/>
              <w:rPr>
                <w:sz w:val="1"/>
                <w:szCs w:val="1"/>
                <w:color w:val="auto"/>
              </w:rPr>
            </w:pPr>
          </w:p>
        </w:tc>
      </w:tr>
      <w:tr>
        <w:trPr>
          <w:trHeight w:val="73"/>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obejmują koszty marży i odsetek.</w:t>
            </w:r>
            <w:r>
              <w:rPr xmlns:w="http://schemas.openxmlformats.org/wordprocessingml/2006/main">
                <w:rFonts w:ascii="Calibri" w:cs="Calibri" w:eastAsia="Calibri" w:hAnsi="Calibri"/>
                <w:sz w:val="22"/>
                <w:szCs w:val="22"/>
                <w:color w:val="auto"/>
              </w:rPr>
              <w:t xml:space="preserve"> Depozyt zabezpieczający oznacza aktywa</w:t>
            </w:r>
          </w:p>
        </w:tc>
        <w:tc>
          <w:tcPr>
            <w:tcW w:w="100" w:type="dxa"/>
            <w:vAlign w:val="bottom"/>
          </w:tcPr>
          <w:p>
            <w:pPr>
              <w:spacing w:after="0"/>
              <w:rPr>
                <w:sz w:val="6"/>
                <w:szCs w:val="6"/>
                <w:color w:val="auto"/>
              </w:rPr>
            </w:pPr>
          </w:p>
        </w:tc>
        <w:tc>
          <w:tcPr>
            <w:tcW w:w="1440" w:type="dxa"/>
            <w:vAlign w:val="bottom"/>
            <w:tcBorders>
              <w:right w:val="single" w:sz="8" w:color="auto"/>
            </w:tcBorders>
            <w:vMerge w:val="continue"/>
          </w:tcPr>
          <w:p>
            <w:pPr>
              <w:spacing w:after="0"/>
              <w:rPr>
                <w:sz w:val="6"/>
                <w:szCs w:val="6"/>
                <w:color w:val="auto"/>
              </w:rPr>
            </w:pPr>
          </w:p>
        </w:tc>
        <w:tc>
          <w:tcPr>
            <w:tcW w:w="80" w:type="dxa"/>
            <w:vAlign w:val="bottom"/>
          </w:tcPr>
          <w:p>
            <w:pPr>
              <w:spacing w:after="0"/>
              <w:rPr>
                <w:sz w:val="6"/>
                <w:szCs w:val="6"/>
                <w:color w:val="auto"/>
              </w:rPr>
            </w:pPr>
          </w:p>
        </w:tc>
        <w:tc>
          <w:tcPr>
            <w:tcW w:w="240" w:type="dxa"/>
            <w:vAlign w:val="bottom"/>
          </w:tcPr>
          <w:p>
            <w:pPr>
              <w:spacing w:after="0"/>
              <w:rPr>
                <w:sz w:val="6"/>
                <w:szCs w:val="6"/>
                <w:color w:val="auto"/>
              </w:rPr>
            </w:pPr>
          </w:p>
        </w:tc>
        <w:tc>
          <w:tcPr>
            <w:tcW w:w="480" w:type="dxa"/>
            <w:vAlign w:val="bottom"/>
          </w:tcPr>
          <w:p>
            <w:pPr>
              <w:spacing w:after="0"/>
              <w:rPr>
                <w:sz w:val="6"/>
                <w:szCs w:val="6"/>
                <w:color w:val="auto"/>
              </w:rPr>
            </w:pPr>
          </w:p>
        </w:tc>
        <w:tc>
          <w:tcPr>
            <w:tcW w:w="960" w:type="dxa"/>
            <w:vAlign w:val="bottom"/>
          </w:tcPr>
          <w:p>
            <w:pPr>
              <w:spacing w:after="0"/>
              <w:rPr>
                <w:sz w:val="6"/>
                <w:szCs w:val="6"/>
                <w:color w:val="auto"/>
              </w:rPr>
            </w:pPr>
          </w:p>
        </w:tc>
        <w:tc>
          <w:tcPr>
            <w:tcW w:w="280" w:type="dxa"/>
            <w:vAlign w:val="bottom"/>
          </w:tcPr>
          <w:p>
            <w:pPr>
              <w:spacing w:after="0"/>
              <w:rPr>
                <w:sz w:val="6"/>
                <w:szCs w:val="6"/>
                <w:color w:val="auto"/>
              </w:rPr>
            </w:pPr>
          </w:p>
        </w:tc>
        <w:tc>
          <w:tcPr>
            <w:tcW w:w="120" w:type="dxa"/>
            <w:vAlign w:val="bottom"/>
            <w:tcBorders>
              <w:right w:val="single" w:sz="8" w:color="auto"/>
            </w:tcBorders>
          </w:tcPr>
          <w:p>
            <w:pPr>
              <w:spacing w:after="0"/>
              <w:rPr>
                <w:sz w:val="6"/>
                <w:szCs w:val="6"/>
                <w:color w:val="auto"/>
              </w:rPr>
            </w:pPr>
          </w:p>
        </w:tc>
        <w:tc>
          <w:tcPr>
            <w:tcW w:w="80" w:type="dxa"/>
            <w:vAlign w:val="bottom"/>
          </w:tcPr>
          <w:p>
            <w:pPr>
              <w:spacing w:after="0"/>
              <w:rPr>
                <w:sz w:val="6"/>
                <w:szCs w:val="6"/>
                <w:color w:val="auto"/>
              </w:rPr>
            </w:pPr>
          </w:p>
        </w:tc>
        <w:tc>
          <w:tcPr>
            <w:tcW w:w="1440" w:type="dxa"/>
            <w:vAlign w:val="bottom"/>
            <w:tcBorders>
              <w:right w:val="single" w:sz="8" w:color="auto"/>
            </w:tcBorders>
          </w:tcPr>
          <w:p>
            <w:pPr>
              <w:spacing w:after="0"/>
              <w:rPr>
                <w:sz w:val="6"/>
                <w:szCs w:val="6"/>
                <w:color w:val="auto"/>
              </w:rPr>
            </w:pP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21"/>
        </w:trPr>
        <w:tc>
          <w:tcPr>
            <w:tcW w:w="5300" w:type="dxa"/>
            <w:vAlign w:val="bottom"/>
            <w:tcBorders>
              <w:right w:val="single" w:sz="8" w:color="auto"/>
            </w:tcBorders>
            <w:vMerge w:val="continue"/>
          </w:tcPr>
          <w:p>
            <w:pPr>
              <w:spacing w:after="0"/>
              <w:rPr>
                <w:sz w:val="19"/>
                <w:szCs w:val="19"/>
                <w:color w:val="auto"/>
              </w:rPr>
            </w:pPr>
          </w:p>
        </w:tc>
        <w:tc>
          <w:tcPr>
            <w:tcW w:w="100" w:type="dxa"/>
            <w:vAlign w:val="bottom"/>
          </w:tcPr>
          <w:p>
            <w:pPr>
              <w:spacing w:after="0"/>
              <w:rPr>
                <w:sz w:val="19"/>
                <w:szCs w:val="19"/>
                <w:color w:val="auto"/>
              </w:rPr>
            </w:pPr>
          </w:p>
        </w:tc>
        <w:tc>
          <w:tcPr>
            <w:tcW w:w="1440" w:type="dxa"/>
            <w:vAlign w:val="bottom"/>
            <w:tcBorders>
              <w:right w:val="single" w:sz="8" w:color="auto"/>
            </w:tcBorders>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administracyjne lub</w:t>
            </w:r>
          </w:p>
        </w:tc>
        <w:tc>
          <w:tcPr>
            <w:tcW w:w="80" w:type="dxa"/>
            <w:vAlign w:val="bottom"/>
          </w:tcPr>
          <w:p>
            <w:pPr>
              <w:spacing w:after="0"/>
              <w:rPr>
                <w:sz w:val="19"/>
                <w:szCs w:val="19"/>
                <w:color w:val="auto"/>
              </w:rPr>
            </w:pPr>
          </w:p>
        </w:tc>
        <w:tc>
          <w:tcPr>
            <w:tcW w:w="2080" w:type="dxa"/>
            <w:vAlign w:val="bottom"/>
            <w:tcBorders>
              <w:right w:val="single" w:sz="8" w:color="auto"/>
            </w:tcBorders>
            <w:gridSpan w:val="5"/>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Nie ma zarządzania</w:t>
            </w:r>
          </w:p>
        </w:tc>
        <w:tc>
          <w:tcPr>
            <w:tcW w:w="80" w:type="dxa"/>
            <w:vAlign w:val="bottom"/>
          </w:tcPr>
          <w:p>
            <w:pPr>
              <w:spacing w:after="0"/>
              <w:rPr>
                <w:sz w:val="19"/>
                <w:szCs w:val="19"/>
                <w:color w:val="auto"/>
              </w:rPr>
            </w:pPr>
          </w:p>
        </w:tc>
        <w:tc>
          <w:tcPr>
            <w:tcW w:w="1440" w:type="dxa"/>
            <w:vAlign w:val="bottom"/>
            <w:tcBorders>
              <w:right w:val="single" w:sz="8" w:color="auto"/>
            </w:tcBorders>
          </w:tcPr>
          <w:p>
            <w:pPr>
              <w:spacing w:after="0"/>
              <w:rPr>
                <w:sz w:val="19"/>
                <w:szCs w:val="19"/>
                <w:color w:val="auto"/>
              </w:rPr>
            </w:pPr>
          </w:p>
        </w:tc>
        <w:tc>
          <w:tcPr>
            <w:tcW w:w="120" w:type="dxa"/>
            <w:vAlign w:val="bottom"/>
          </w:tcPr>
          <w:p>
            <w:pPr>
              <w:spacing w:after="0"/>
              <w:rPr>
                <w:sz w:val="19"/>
                <w:szCs w:val="19"/>
                <w:color w:val="auto"/>
              </w:rPr>
            </w:pPr>
          </w:p>
        </w:tc>
        <w:tc>
          <w:tcPr>
            <w:tcW w:w="0" w:type="dxa"/>
            <w:vAlign w:val="bottom"/>
          </w:tcPr>
          <w:p>
            <w:pPr>
              <w:spacing w:after="0"/>
              <w:rPr>
                <w:sz w:val="1"/>
                <w:szCs w:val="1"/>
                <w:color w:val="auto"/>
              </w:rPr>
            </w:pPr>
          </w:p>
        </w:tc>
      </w:tr>
      <w:tr>
        <w:trPr>
          <w:trHeight w:val="206"/>
        </w:trPr>
        <w:tc>
          <w:tcPr>
            <w:tcW w:w="5300" w:type="dxa"/>
            <w:vAlign w:val="bottom"/>
            <w:tcBorders>
              <w:right w:val="single" w:sz="8" w:color="auto"/>
            </w:tcBorders>
          </w:tcPr>
          <w:p>
            <w:pPr xmlns:w="http://schemas.openxmlformats.org/wordprocessingml/2006/main">
              <w:ind w:left="100"/>
              <w:spacing w:after="0" w:line="205" w:lineRule="exact"/>
              <w:rPr>
                <w:sz w:val="20"/>
                <w:szCs w:val="20"/>
                <w:color w:val="auto"/>
              </w:rPr>
            </w:pPr>
            <w:r>
              <w:rPr xmlns:w="http://schemas.openxmlformats.org/wordprocessingml/2006/main">
                <w:rFonts w:ascii="Calibri" w:cs="Calibri" w:eastAsia="Calibri" w:hAnsi="Calibri"/>
                <w:sz w:val="22"/>
                <w:szCs w:val="22"/>
                <w:color w:val="auto"/>
              </w:rPr>
              <w:t xml:space="preserve">wymagane do złożenia przez emitenta w jego biurze maklerskim</w:t>
            </w:r>
          </w:p>
        </w:tc>
        <w:tc>
          <w:tcPr>
            <w:tcW w:w="10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koszty operacyjne</w:t>
            </w:r>
          </w:p>
        </w:tc>
        <w:tc>
          <w:tcPr>
            <w:tcW w:w="80" w:type="dxa"/>
            <w:vAlign w:val="bottom"/>
          </w:tcPr>
          <w:p>
            <w:pPr>
              <w:spacing w:after="0"/>
              <w:rPr>
                <w:sz w:val="17"/>
                <w:szCs w:val="17"/>
                <w:color w:val="auto"/>
              </w:rPr>
            </w:pPr>
          </w:p>
        </w:tc>
        <w:tc>
          <w:tcPr>
            <w:tcW w:w="240" w:type="dxa"/>
            <w:vAlign w:val="bottom"/>
            <w:tcBorders>
              <w:bottom w:val="single" w:sz="8" w:color="auto"/>
            </w:tcBorders>
          </w:tcPr>
          <w:p>
            <w:pPr xmlns:w="http://schemas.openxmlformats.org/wordprocessingml/2006/main">
              <w:spacing w:after="0" w:line="185" w:lineRule="exact"/>
              <w:rPr>
                <w:sz w:val="20"/>
                <w:szCs w:val="20"/>
                <w:color w:val="auto"/>
              </w:rPr>
            </w:pPr>
            <w:r>
              <w:rPr xmlns:w="http://schemas.openxmlformats.org/wordprocessingml/2006/main">
                <w:rFonts w:ascii="Calibri" w:cs="Calibri" w:eastAsia="Calibri" w:hAnsi="Calibri"/>
                <w:sz w:val="18"/>
                <w:szCs w:val="18"/>
                <w:color w:val="auto"/>
                <w:w w:val="93"/>
              </w:rPr>
              <w:t xml:space="preserve">opłata</w:t>
            </w:r>
          </w:p>
        </w:tc>
        <w:tc>
          <w:tcPr>
            <w:tcW w:w="480" w:type="dxa"/>
            <w:vAlign w:val="bottom"/>
          </w:tcPr>
          <w:p>
            <w:pPr>
              <w:spacing w:after="0"/>
              <w:rPr>
                <w:sz w:val="17"/>
                <w:szCs w:val="17"/>
                <w:color w:val="auto"/>
              </w:rPr>
            </w:pPr>
          </w:p>
        </w:tc>
        <w:tc>
          <w:tcPr>
            <w:tcW w:w="960" w:type="dxa"/>
            <w:vAlign w:val="bottom"/>
          </w:tcPr>
          <w:p>
            <w:pPr>
              <w:spacing w:after="0"/>
              <w:rPr>
                <w:sz w:val="17"/>
                <w:szCs w:val="17"/>
                <w:color w:val="auto"/>
              </w:rPr>
            </w:pPr>
          </w:p>
        </w:tc>
        <w:tc>
          <w:tcPr>
            <w:tcW w:w="400" w:type="dxa"/>
            <w:vAlign w:val="bottom"/>
            <w:tcBorders>
              <w:right w:val="single" w:sz="8" w:color="auto"/>
            </w:tcBorders>
            <w:gridSpan w:val="2"/>
          </w:tcPr>
          <w:p>
            <w:pPr>
              <w:spacing w:after="0"/>
              <w:rPr>
                <w:sz w:val="17"/>
                <w:szCs w:val="17"/>
                <w:color w:val="auto"/>
              </w:rPr>
            </w:pPr>
          </w:p>
        </w:tc>
        <w:tc>
          <w:tcPr>
            <w:tcW w:w="80" w:type="dxa"/>
            <w:vAlign w:val="bottom"/>
          </w:tcPr>
          <w:p>
            <w:pPr>
              <w:spacing w:after="0"/>
              <w:rPr>
                <w:sz w:val="17"/>
                <w:szCs w:val="17"/>
                <w:color w:val="auto"/>
              </w:rPr>
            </w:pPr>
          </w:p>
        </w:tc>
        <w:tc>
          <w:tcPr>
            <w:tcW w:w="1440" w:type="dxa"/>
            <w:vAlign w:val="bottom"/>
            <w:tcBorders>
              <w:right w:val="single" w:sz="8" w:color="auto"/>
            </w:tcBorders>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NIE DOTYCZY</w:t>
            </w:r>
          </w:p>
        </w:tc>
        <w:tc>
          <w:tcPr>
            <w:tcW w:w="120" w:type="dxa"/>
            <w:vAlign w:val="bottom"/>
          </w:tcPr>
          <w:p>
            <w:pPr>
              <w:spacing w:after="0"/>
              <w:rPr>
                <w:sz w:val="17"/>
                <w:szCs w:val="17"/>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080" w:type="dxa"/>
            <w:vAlign w:val="bottom"/>
            <w:tcBorders>
              <w:bottom w:val="single" w:sz="8" w:color="auto"/>
              <w:right w:val="single" w:sz="8" w:color="auto"/>
            </w:tcBorders>
            <w:gridSpan w:val="5"/>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244"/>
        </w:trPr>
        <w:tc>
          <w:tcPr>
            <w:tcW w:w="5300" w:type="dxa"/>
            <w:vAlign w:val="bottom"/>
            <w:tcBorders>
              <w:right w:val="single" w:sz="8" w:color="auto"/>
            </w:tcBorders>
          </w:tcPr>
          <w:p>
            <w:pPr xmlns:w="http://schemas.openxmlformats.org/wordprocessingml/2006/main">
              <w:ind w:left="100"/>
              <w:spacing w:after="0" w:line="244" w:lineRule="exact"/>
              <w:rPr>
                <w:sz w:val="20"/>
                <w:szCs w:val="20"/>
                <w:color w:val="auto"/>
              </w:rPr>
            </w:pPr>
            <w:r>
              <w:rPr xmlns:w="http://schemas.openxmlformats.org/wordprocessingml/2006/main">
                <w:rFonts w:ascii="Calibri" w:cs="Calibri" w:eastAsia="Calibri" w:hAnsi="Calibri"/>
                <w:sz w:val="22"/>
                <w:szCs w:val="22"/>
                <w:color w:val="auto"/>
              </w:rPr>
              <w:t xml:space="preserve">potwierdzić jako zabezpieczenie zobowiązania do zapłaty wykonania</w:t>
            </w:r>
          </w:p>
        </w:tc>
        <w:tc>
          <w:tcPr>
            <w:tcW w:w="10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80" w:type="dxa"/>
            <w:vAlign w:val="bottom"/>
          </w:tcPr>
          <w:p>
            <w:pPr>
              <w:spacing w:after="0"/>
              <w:rPr>
                <w:sz w:val="21"/>
                <w:szCs w:val="21"/>
                <w:color w:val="auto"/>
              </w:rPr>
            </w:pPr>
          </w:p>
        </w:tc>
        <w:tc>
          <w:tcPr>
            <w:tcW w:w="2080" w:type="dxa"/>
            <w:vAlign w:val="bottom"/>
            <w:tcBorders>
              <w:right w:val="single" w:sz="8" w:color="auto"/>
            </w:tcBorders>
            <w:gridSpan w:val="5"/>
          </w:tcPr>
          <w:p>
            <w:pPr xmlns:w="http://schemas.openxmlformats.org/wordprocessingml/2006/main">
              <w:spacing w:after="0" w:line="193" w:lineRule="exact"/>
              <w:rPr>
                <w:sz w:val="20"/>
                <w:szCs w:val="20"/>
                <w:color w:val="auto"/>
              </w:rPr>
            </w:pPr>
            <w:r>
              <w:rPr xmlns:w="http://schemas.openxmlformats.org/wordprocessingml/2006/main">
                <w:rFonts w:ascii="Calibri" w:cs="Calibri" w:eastAsia="Calibri" w:hAnsi="Calibri"/>
                <w:sz w:val="18"/>
                <w:szCs w:val="18"/>
                <w:color w:val="auto"/>
              </w:rPr>
              <w:t xml:space="preserve">Depozyt zabezpieczający (wymagania</w:t>
            </w:r>
          </w:p>
        </w:tc>
        <w:tc>
          <w:tcPr>
            <w:tcW w:w="80" w:type="dxa"/>
            <w:vAlign w:val="bottom"/>
          </w:tcPr>
          <w:p>
            <w:pPr>
              <w:spacing w:after="0"/>
              <w:rPr>
                <w:sz w:val="21"/>
                <w:szCs w:val="21"/>
                <w:color w:val="auto"/>
              </w:rPr>
            </w:pPr>
          </w:p>
        </w:tc>
        <w:tc>
          <w:tcPr>
            <w:tcW w:w="1440" w:type="dxa"/>
            <w:vAlign w:val="bottom"/>
            <w:tcBorders>
              <w:right w:val="single" w:sz="8" w:color="auto"/>
            </w:tcBorders>
          </w:tcPr>
          <w:p>
            <w:pPr>
              <w:spacing w:after="0"/>
              <w:rPr>
                <w:sz w:val="21"/>
                <w:szCs w:val="21"/>
                <w:color w:val="auto"/>
              </w:rPr>
            </w:pPr>
          </w:p>
        </w:tc>
        <w:tc>
          <w:tcPr>
            <w:tcW w:w="120" w:type="dxa"/>
            <w:vAlign w:val="bottom"/>
          </w:tcPr>
          <w:p>
            <w:pPr>
              <w:spacing w:after="0"/>
              <w:rPr>
                <w:sz w:val="21"/>
                <w:szCs w:val="21"/>
                <w:color w:val="auto"/>
              </w:rPr>
            </w:pPr>
          </w:p>
        </w:tc>
        <w:tc>
          <w:tcPr>
            <w:tcW w:w="0" w:type="dxa"/>
            <w:vAlign w:val="bottom"/>
          </w:tcPr>
          <w:p>
            <w:pPr>
              <w:spacing w:after="0"/>
              <w:rPr>
                <w:sz w:val="1"/>
                <w:szCs w:val="1"/>
                <w:color w:val="auto"/>
              </w:rPr>
            </w:pPr>
          </w:p>
        </w:tc>
      </w:tr>
      <w:tr>
        <w:trPr>
          <w:trHeight w:val="169"/>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kwota rozliczenia.</w:t>
            </w:r>
            <w:r>
              <w:rPr xmlns:w="http://schemas.openxmlformats.org/wordprocessingml/2006/main">
                <w:rFonts w:ascii="Calibri" w:cs="Calibri" w:eastAsia="Calibri" w:hAnsi="Calibri"/>
                <w:sz w:val="22"/>
                <w:szCs w:val="22"/>
                <w:color w:val="auto"/>
              </w:rPr>
              <w:t xml:space="preserve"> W przypadku wykonania opcji oraz</w:t>
            </w:r>
          </w:p>
        </w:tc>
        <w:tc>
          <w:tcPr>
            <w:tcW w:w="100" w:type="dxa"/>
            <w:vAlign w:val="bottom"/>
          </w:tcPr>
          <w:p>
            <w:pPr>
              <w:spacing w:after="0"/>
              <w:rPr>
                <w:sz w:val="14"/>
                <w:szCs w:val="14"/>
                <w:color w:val="auto"/>
              </w:rPr>
            </w:pPr>
          </w:p>
        </w:tc>
        <w:tc>
          <w:tcPr>
            <w:tcW w:w="1440" w:type="dxa"/>
            <w:vAlign w:val="bottom"/>
            <w:tcBorders>
              <w:right w:val="single" w:sz="8" w:color="auto"/>
            </w:tcBorders>
          </w:tcPr>
          <w:p>
            <w:pPr>
              <w:spacing w:after="0"/>
              <w:rPr>
                <w:sz w:val="14"/>
                <w:szCs w:val="14"/>
                <w:color w:val="auto"/>
              </w:rPr>
            </w:pPr>
          </w:p>
        </w:tc>
        <w:tc>
          <w:tcPr>
            <w:tcW w:w="80" w:type="dxa"/>
            <w:vAlign w:val="bottom"/>
          </w:tcPr>
          <w:p>
            <w:pPr>
              <w:spacing w:after="0"/>
              <w:rPr>
                <w:sz w:val="14"/>
                <w:szCs w:val="14"/>
                <w:color w:val="auto"/>
              </w:rPr>
            </w:pPr>
          </w:p>
        </w:tc>
        <w:tc>
          <w:tcPr>
            <w:tcW w:w="2080" w:type="dxa"/>
            <w:vAlign w:val="bottom"/>
            <w:tcBorders>
              <w:right w:val="single" w:sz="8" w:color="auto"/>
            </w:tcBorders>
            <w:gridSpan w:val="5"/>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mogą ulec zmianie, oraz</w:t>
            </w:r>
          </w:p>
        </w:tc>
        <w:tc>
          <w:tcPr>
            <w:tcW w:w="80" w:type="dxa"/>
            <w:vAlign w:val="bottom"/>
          </w:tcPr>
          <w:p>
            <w:pPr>
              <w:spacing w:after="0"/>
              <w:rPr>
                <w:sz w:val="14"/>
                <w:szCs w:val="14"/>
                <w:color w:val="auto"/>
              </w:rPr>
            </w:pPr>
          </w:p>
        </w:tc>
        <w:tc>
          <w:tcPr>
            <w:tcW w:w="1440" w:type="dxa"/>
            <w:vAlign w:val="bottom"/>
            <w:tcBorders>
              <w:right w:val="single" w:sz="8" w:color="auto"/>
            </w:tcBorders>
          </w:tcPr>
          <w:p>
            <w:pPr xmlns:w="http://schemas.openxmlformats.org/wordprocessingml/2006/main">
              <w:spacing w:after="0" w:line="169" w:lineRule="exact"/>
              <w:rPr>
                <w:sz w:val="20"/>
                <w:szCs w:val="20"/>
                <w:color w:val="auto"/>
              </w:rPr>
            </w:pPr>
            <w:r>
              <w:rPr xmlns:w="http://schemas.openxmlformats.org/wordprocessingml/2006/main">
                <w:rFonts w:ascii="Calibri" w:cs="Calibri" w:eastAsia="Calibri" w:hAnsi="Calibri"/>
                <w:sz w:val="18"/>
                <w:szCs w:val="18"/>
                <w:color w:val="auto"/>
              </w:rPr>
              <w:t xml:space="preserve">Zmienna</w:t>
            </w:r>
          </w:p>
        </w:tc>
        <w:tc>
          <w:tcPr>
            <w:tcW w:w="12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100"/>
        </w:trPr>
        <w:tc>
          <w:tcPr>
            <w:tcW w:w="5300" w:type="dxa"/>
            <w:vAlign w:val="bottom"/>
            <w:tcBorders>
              <w:right w:val="single" w:sz="8" w:color="auto"/>
            </w:tcBorders>
            <w:vMerge w:val="continue"/>
          </w:tcPr>
          <w:p>
            <w:pPr>
              <w:spacing w:after="0"/>
              <w:rPr>
                <w:sz w:val="8"/>
                <w:szCs w:val="8"/>
                <w:color w:val="auto"/>
              </w:rPr>
            </w:pPr>
          </w:p>
        </w:tc>
        <w:tc>
          <w:tcPr>
            <w:tcW w:w="10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Koszty transakcyjne</w:t>
            </w:r>
          </w:p>
        </w:tc>
        <w:tc>
          <w:tcPr>
            <w:tcW w:w="80" w:type="dxa"/>
            <w:vAlign w:val="bottom"/>
          </w:tcPr>
          <w:p>
            <w:pPr>
              <w:spacing w:after="0"/>
              <w:rPr>
                <w:sz w:val="8"/>
                <w:szCs w:val="8"/>
                <w:color w:val="auto"/>
              </w:rPr>
            </w:pPr>
          </w:p>
        </w:tc>
        <w:tc>
          <w:tcPr>
            <w:tcW w:w="2080" w:type="dxa"/>
            <w:vAlign w:val="bottom"/>
            <w:tcBorders>
              <w:right w:val="single" w:sz="8" w:color="auto"/>
            </w:tcBorders>
            <w:gridSpan w:val="5"/>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może się różnić w zależności od rodzaju pośrednictwa)</w:t>
            </w:r>
          </w:p>
        </w:tc>
        <w:tc>
          <w:tcPr>
            <w:tcW w:w="80" w:type="dxa"/>
            <w:vAlign w:val="bottom"/>
          </w:tcPr>
          <w:p>
            <w:pPr>
              <w:spacing w:after="0"/>
              <w:rPr>
                <w:sz w:val="8"/>
                <w:szCs w:val="8"/>
                <w:color w:val="auto"/>
              </w:rPr>
            </w:pPr>
          </w:p>
        </w:tc>
        <w:tc>
          <w:tcPr>
            <w:tcW w:w="1440" w:type="dxa"/>
            <w:vAlign w:val="bottom"/>
            <w:tcBorders>
              <w:right w:val="single" w:sz="8" w:color="auto"/>
            </w:tcBorders>
            <w:vMerge w:val="restart"/>
          </w:tcPr>
          <w:p>
            <w:pPr xmlns:w="http://schemas.openxmlformats.org/wordprocessingml/2006/main">
              <w:spacing w:after="0" w:line="206" w:lineRule="exact"/>
              <w:rPr>
                <w:sz w:val="20"/>
                <w:szCs w:val="20"/>
                <w:color w:val="auto"/>
              </w:rPr>
            </w:pPr>
            <w:r>
              <w:rPr xmlns:w="http://schemas.openxmlformats.org/wordprocessingml/2006/main">
                <w:rFonts w:ascii="Calibri" w:cs="Calibri" w:eastAsia="Calibri" w:hAnsi="Calibri"/>
                <w:sz w:val="18"/>
                <w:szCs w:val="18"/>
                <w:color w:val="auto"/>
              </w:rPr>
              <w:t xml:space="preserve">(w toku)</w:t>
            </w: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06"/>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przypisany, autor może ponieść dodatkowe koszty.</w:t>
            </w:r>
            <w:r>
              <w:rPr xmlns:w="http://schemas.openxmlformats.org/wordprocessingml/2006/main">
                <w:rFonts w:ascii="Calibri" w:cs="Calibri" w:eastAsia="Calibri" w:hAnsi="Calibri"/>
                <w:sz w:val="22"/>
                <w:szCs w:val="22"/>
                <w:color w:val="auto"/>
              </w:rPr>
              <w:t xml:space="preserve"> Oddzielne</w:t>
            </w:r>
          </w:p>
        </w:tc>
        <w:tc>
          <w:tcPr>
            <w:tcW w:w="10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80" w:type="dxa"/>
            <w:vAlign w:val="bottom"/>
          </w:tcPr>
          <w:p>
            <w:pPr>
              <w:spacing w:after="0"/>
              <w:rPr>
                <w:sz w:val="9"/>
                <w:szCs w:val="9"/>
                <w:color w:val="auto"/>
              </w:rPr>
            </w:pPr>
          </w:p>
        </w:tc>
        <w:tc>
          <w:tcPr>
            <w:tcW w:w="2080" w:type="dxa"/>
            <w:vAlign w:val="bottom"/>
            <w:tcBorders>
              <w:right w:val="single" w:sz="8" w:color="auto"/>
            </w:tcBorders>
            <w:gridSpan w:val="5"/>
            <w:vMerge w:val="continue"/>
          </w:tcPr>
          <w:p>
            <w:pPr>
              <w:spacing w:after="0"/>
              <w:rPr>
                <w:sz w:val="9"/>
                <w:szCs w:val="9"/>
                <w:color w:val="auto"/>
              </w:rPr>
            </w:pPr>
          </w:p>
        </w:tc>
        <w:tc>
          <w:tcPr>
            <w:tcW w:w="80" w:type="dxa"/>
            <w:vAlign w:val="bottom"/>
          </w:tcPr>
          <w:p>
            <w:pPr>
              <w:spacing w:after="0"/>
              <w:rPr>
                <w:sz w:val="9"/>
                <w:szCs w:val="9"/>
                <w:color w:val="auto"/>
              </w:rPr>
            </w:pPr>
          </w:p>
        </w:tc>
        <w:tc>
          <w:tcPr>
            <w:tcW w:w="1440" w:type="dxa"/>
            <w:vAlign w:val="bottom"/>
            <w:tcBorders>
              <w:right w:val="single" w:sz="8" w:color="auto"/>
            </w:tcBorders>
            <w:vMerge w:val="continue"/>
          </w:tcPr>
          <w:p>
            <w:pPr>
              <w:spacing w:after="0"/>
              <w:rPr>
                <w:sz w:val="9"/>
                <w:szCs w:val="9"/>
                <w:color w:val="auto"/>
              </w:rPr>
            </w:pPr>
          </w:p>
        </w:tc>
        <w:tc>
          <w:tcPr>
            <w:tcW w:w="120" w:type="dxa"/>
            <w:vAlign w:val="bottom"/>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5300" w:type="dxa"/>
            <w:vAlign w:val="bottom"/>
            <w:tcBorders>
              <w:right w:val="single" w:sz="8" w:color="auto"/>
            </w:tcBorders>
            <w:vMerge w:val="continue"/>
          </w:tcPr>
          <w:p>
            <w:pPr>
              <w:spacing w:after="0" w:line="20" w:lineRule="exact"/>
              <w:rPr>
                <w:sz w:val="1"/>
                <w:szCs w:val="1"/>
                <w:color w:val="auto"/>
              </w:rPr>
            </w:pPr>
          </w:p>
        </w:tc>
        <w:tc>
          <w:tcPr>
            <w:tcW w:w="10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240" w:type="dxa"/>
            <w:vAlign w:val="bottom"/>
            <w:tcBorders>
              <w:bottom w:val="single" w:sz="8" w:color="auto"/>
            </w:tcBorders>
          </w:tcPr>
          <w:p>
            <w:pPr>
              <w:spacing w:after="0" w:line="20" w:lineRule="exact"/>
              <w:rPr>
                <w:sz w:val="1"/>
                <w:szCs w:val="1"/>
                <w:color w:val="auto"/>
              </w:rPr>
            </w:pPr>
          </w:p>
        </w:tc>
        <w:tc>
          <w:tcPr>
            <w:tcW w:w="480" w:type="dxa"/>
            <w:vAlign w:val="bottom"/>
            <w:tcBorders>
              <w:bottom w:val="single" w:sz="8" w:color="auto"/>
            </w:tcBorders>
          </w:tcPr>
          <w:p>
            <w:pPr>
              <w:spacing w:after="0" w:line="20" w:lineRule="exact"/>
              <w:rPr>
                <w:sz w:val="1"/>
                <w:szCs w:val="1"/>
                <w:color w:val="auto"/>
              </w:rPr>
            </w:pPr>
          </w:p>
        </w:tc>
        <w:tc>
          <w:tcPr>
            <w:tcW w:w="960" w:type="dxa"/>
            <w:vAlign w:val="bottom"/>
            <w:tcBorders>
              <w:top w:val="single" w:sz="8" w:color="auto"/>
              <w:bottom w:val="single" w:sz="8" w:color="auto"/>
            </w:tcBorders>
          </w:tcPr>
          <w:p>
            <w:pPr>
              <w:spacing w:after="0" w:line="20" w:lineRule="exact"/>
              <w:rPr>
                <w:sz w:val="1"/>
                <w:szCs w:val="1"/>
                <w:color w:val="auto"/>
              </w:rPr>
            </w:pPr>
          </w:p>
        </w:tc>
        <w:tc>
          <w:tcPr>
            <w:tcW w:w="280" w:type="dxa"/>
            <w:vAlign w:val="bottom"/>
            <w:tcBorders>
              <w:bottom w:val="single" w:sz="8" w:color="auto"/>
            </w:tcBorders>
          </w:tcPr>
          <w:p>
            <w:pPr>
              <w:spacing w:after="0" w:line="20" w:lineRule="exact"/>
              <w:rPr>
                <w:sz w:val="1"/>
                <w:szCs w:val="1"/>
                <w:color w:val="auto"/>
              </w:rPr>
            </w:pPr>
          </w:p>
        </w:tc>
        <w:tc>
          <w:tcPr>
            <w:tcW w:w="120" w:type="dxa"/>
            <w:vAlign w:val="bottom"/>
            <w:tcBorders>
              <w:bottom w:val="single" w:sz="8" w:color="auto"/>
              <w:right w:val="single" w:sz="8" w:color="auto"/>
            </w:tcBorders>
          </w:tcPr>
          <w:p>
            <w:pPr>
              <w:spacing w:after="0" w:line="20" w:lineRule="exact"/>
              <w:rPr>
                <w:sz w:val="1"/>
                <w:szCs w:val="1"/>
                <w:color w:val="auto"/>
              </w:rPr>
            </w:pPr>
          </w:p>
        </w:tc>
        <w:tc>
          <w:tcPr>
            <w:tcW w:w="80" w:type="dxa"/>
            <w:vAlign w:val="bottom"/>
            <w:tcBorders>
              <w:bottom w:val="single" w:sz="8" w:color="auto"/>
            </w:tcBorders>
          </w:tcPr>
          <w:p>
            <w:pPr>
              <w:spacing w:after="0" w:line="20" w:lineRule="exact"/>
              <w:rPr>
                <w:sz w:val="1"/>
                <w:szCs w:val="1"/>
                <w:color w:val="auto"/>
              </w:rPr>
            </w:pPr>
          </w:p>
        </w:tc>
        <w:tc>
          <w:tcPr>
            <w:tcW w:w="1440" w:type="dxa"/>
            <w:vAlign w:val="bottom"/>
            <w:tcBorders>
              <w:bottom w:val="single" w:sz="8" w:color="auto"/>
              <w:right w:val="single" w:sz="8" w:color="auto"/>
            </w:tcBorders>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03"/>
        </w:trPr>
        <w:tc>
          <w:tcPr>
            <w:tcW w:w="5300" w:type="dxa"/>
            <w:vAlign w:val="bottom"/>
            <w:tcBorders>
              <w:right w:val="single" w:sz="8" w:color="auto"/>
            </w:tcBorders>
            <w:vMerge w:val="continue"/>
          </w:tcPr>
          <w:p>
            <w:pPr>
              <w:spacing w:after="0"/>
              <w:rPr>
                <w:sz w:val="8"/>
                <w:szCs w:val="8"/>
                <w:color w:val="auto"/>
              </w:rPr>
            </w:pPr>
          </w:p>
        </w:tc>
        <w:tc>
          <w:tcPr>
            <w:tcW w:w="100" w:type="dxa"/>
            <w:vAlign w:val="bottom"/>
            <w:shd w:val="clear" w:color="auto" w:fill="DADADA"/>
          </w:tcPr>
          <w:p>
            <w:pPr>
              <w:spacing w:after="0"/>
              <w:rPr>
                <w:sz w:val="8"/>
                <w:szCs w:val="8"/>
                <w:color w:val="auto"/>
              </w:rPr>
            </w:pPr>
          </w:p>
        </w:tc>
        <w:tc>
          <w:tcPr>
            <w:tcW w:w="3480" w:type="dxa"/>
            <w:vAlign w:val="bottom"/>
            <w:gridSpan w:val="6"/>
            <w:vMerge w:val="restart"/>
            <w:shd w:val="clear" w:color="auto" w:fill="DADADA"/>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highlight w:val="lightGray"/>
              </w:rPr>
              <w:t xml:space="preserve">Koszty uboczne ponoszone na określonych warunkach</w:t>
            </w:r>
          </w:p>
        </w:tc>
        <w:tc>
          <w:tcPr>
            <w:tcW w:w="120" w:type="dxa"/>
            <w:vAlign w:val="bottom"/>
            <w:tcBorders>
              <w:right w:val="single" w:sz="8" w:color="auto"/>
            </w:tcBorders>
            <w:shd w:val="clear" w:color="auto" w:fill="DADADA"/>
          </w:tcPr>
          <w:p>
            <w:pPr>
              <w:spacing w:after="0"/>
              <w:rPr>
                <w:sz w:val="8"/>
                <w:szCs w:val="8"/>
                <w:color w:val="auto"/>
              </w:rPr>
            </w:pPr>
          </w:p>
        </w:tc>
        <w:tc>
          <w:tcPr>
            <w:tcW w:w="80" w:type="dxa"/>
            <w:vAlign w:val="bottom"/>
            <w:shd w:val="clear" w:color="auto" w:fill="DADADA"/>
          </w:tcPr>
          <w:p>
            <w:pPr>
              <w:spacing w:after="0"/>
              <w:rPr>
                <w:sz w:val="8"/>
                <w:szCs w:val="8"/>
                <w:color w:val="auto"/>
              </w:rPr>
            </w:pPr>
          </w:p>
        </w:tc>
        <w:tc>
          <w:tcPr>
            <w:tcW w:w="1440" w:type="dxa"/>
            <w:vAlign w:val="bottom"/>
            <w:tcBorders>
              <w:right w:val="single" w:sz="8" w:color="auto"/>
            </w:tcBorders>
            <w:shd w:val="clear" w:color="auto" w:fill="DADADA"/>
          </w:tcPr>
          <w:p>
            <w:pPr>
              <w:spacing w:after="0"/>
              <w:rPr>
                <w:sz w:val="8"/>
                <w:szCs w:val="8"/>
                <w:color w:val="auto"/>
              </w:rPr>
            </w:pPr>
          </w:p>
        </w:tc>
        <w:tc>
          <w:tcPr>
            <w:tcW w:w="12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175"/>
        </w:trPr>
        <w:tc>
          <w:tcPr>
            <w:tcW w:w="5300" w:type="dxa"/>
            <w:vAlign w:val="bottom"/>
            <w:tcBorders>
              <w:right w:val="single" w:sz="8" w:color="auto"/>
            </w:tcBorders>
            <w:vMerge w:val="restart"/>
          </w:tcPr>
          <w:p>
            <w:pPr xmlns:w="http://schemas.openxmlformats.org/wordprocessingml/2006/main">
              <w:ind w:left="100"/>
              <w:spacing w:after="0"/>
              <w:rPr>
                <w:sz w:val="20"/>
                <w:szCs w:val="20"/>
                <w:color w:val="auto"/>
              </w:rPr>
            </w:pPr>
            <w:r>
              <w:rPr xmlns:w="http://schemas.openxmlformats.org/wordprocessingml/2006/main">
                <w:rFonts w:ascii="Calibri" w:cs="Calibri" w:eastAsia="Calibri" w:hAnsi="Calibri"/>
                <w:sz w:val="22"/>
                <w:szCs w:val="22"/>
                <w:color w:val="auto"/>
              </w:rPr>
              <w:t xml:space="preserve">od kosztów inwestora, opłat związanych z opłatami</w:t>
            </w:r>
          </w:p>
        </w:tc>
        <w:tc>
          <w:tcPr>
            <w:tcW w:w="100" w:type="dxa"/>
            <w:vAlign w:val="bottom"/>
            <w:tcBorders>
              <w:bottom w:val="single" w:sz="8" w:color="auto"/>
            </w:tcBorders>
            <w:shd w:val="clear" w:color="auto" w:fill="DADADA"/>
          </w:tcPr>
          <w:p>
            <w:pPr>
              <w:spacing w:after="0"/>
              <w:rPr>
                <w:sz w:val="15"/>
                <w:szCs w:val="15"/>
                <w:color w:val="auto"/>
              </w:rPr>
            </w:pPr>
          </w:p>
        </w:tc>
        <w:tc>
          <w:tcPr>
            <w:tcW w:w="3480" w:type="dxa"/>
            <w:vAlign w:val="bottom"/>
            <w:tcBorders>
              <w:bottom w:val="single" w:sz="8" w:color="auto"/>
            </w:tcBorders>
            <w:gridSpan w:val="6"/>
            <w:vMerge w:val="continue"/>
            <w:shd w:val="clear" w:color="auto" w:fill="DADADA"/>
          </w:tcPr>
          <w:p>
            <w:pPr>
              <w:spacing w:after="0"/>
              <w:rPr>
                <w:sz w:val="15"/>
                <w:szCs w:val="15"/>
                <w:color w:val="auto"/>
              </w:rPr>
            </w:pPr>
          </w:p>
        </w:tc>
        <w:tc>
          <w:tcPr>
            <w:tcW w:w="120" w:type="dxa"/>
            <w:vAlign w:val="bottom"/>
            <w:tcBorders>
              <w:bottom w:val="single" w:sz="8" w:color="auto"/>
              <w:right w:val="single" w:sz="8" w:color="auto"/>
            </w:tcBorders>
            <w:shd w:val="clear" w:color="auto" w:fill="DADADA"/>
          </w:tcPr>
          <w:p>
            <w:pPr>
              <w:spacing w:after="0"/>
              <w:rPr>
                <w:sz w:val="15"/>
                <w:szCs w:val="15"/>
                <w:color w:val="auto"/>
              </w:rPr>
            </w:pPr>
          </w:p>
        </w:tc>
        <w:tc>
          <w:tcPr>
            <w:tcW w:w="80" w:type="dxa"/>
            <w:vAlign w:val="bottom"/>
            <w:tcBorders>
              <w:bottom w:val="single" w:sz="8" w:color="auto"/>
            </w:tcBorders>
            <w:shd w:val="clear" w:color="auto" w:fill="DADADA"/>
          </w:tcPr>
          <w:p>
            <w:pPr>
              <w:spacing w:after="0"/>
              <w:rPr>
                <w:sz w:val="15"/>
                <w:szCs w:val="15"/>
                <w:color w:val="auto"/>
              </w:rPr>
            </w:pPr>
          </w:p>
        </w:tc>
        <w:tc>
          <w:tcPr>
            <w:tcW w:w="1440" w:type="dxa"/>
            <w:vAlign w:val="bottom"/>
            <w:tcBorders>
              <w:bottom w:val="single" w:sz="8" w:color="auto"/>
              <w:right w:val="single" w:sz="8" w:color="auto"/>
            </w:tcBorders>
            <w:shd w:val="clear" w:color="auto" w:fill="DADADA"/>
          </w:tcPr>
          <w:p>
            <w:pPr>
              <w:spacing w:after="0"/>
              <w:rPr>
                <w:sz w:val="15"/>
                <w:szCs w:val="15"/>
                <w:color w:val="auto"/>
              </w:rPr>
            </w:pPr>
          </w:p>
        </w:tc>
        <w:tc>
          <w:tcPr>
            <w:tcW w:w="12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74"/>
        </w:trPr>
        <w:tc>
          <w:tcPr>
            <w:tcW w:w="5300" w:type="dxa"/>
            <w:vAlign w:val="bottom"/>
            <w:tcBorders>
              <w:right w:val="single" w:sz="8" w:color="auto"/>
            </w:tcBorders>
            <w:vMerge w:val="continue"/>
          </w:tcPr>
          <w:p>
            <w:pPr>
              <w:spacing w:after="0"/>
              <w:rPr>
                <w:sz w:val="6"/>
                <w:szCs w:val="6"/>
                <w:color w:val="auto"/>
              </w:rPr>
            </w:pPr>
          </w:p>
        </w:tc>
        <w:tc>
          <w:tcPr>
            <w:tcW w:w="10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Opłaty za wyniki</w:t>
            </w:r>
          </w:p>
        </w:tc>
        <w:tc>
          <w:tcPr>
            <w:tcW w:w="80" w:type="dxa"/>
            <w:vAlign w:val="bottom"/>
          </w:tcPr>
          <w:p>
            <w:pPr>
              <w:spacing w:after="0"/>
              <w:rPr>
                <w:sz w:val="6"/>
                <w:szCs w:val="6"/>
                <w:color w:val="auto"/>
              </w:rPr>
            </w:pPr>
          </w:p>
        </w:tc>
        <w:tc>
          <w:tcPr>
            <w:tcW w:w="2080" w:type="dxa"/>
            <w:vAlign w:val="bottom"/>
            <w:tcBorders>
              <w:right w:val="single" w:sz="8" w:color="auto"/>
            </w:tcBorders>
            <w:gridSpan w:val="5"/>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Brak</w:t>
            </w:r>
          </w:p>
        </w:tc>
        <w:tc>
          <w:tcPr>
            <w:tcW w:w="80" w:type="dxa"/>
            <w:vAlign w:val="bottom"/>
          </w:tcPr>
          <w:p>
            <w:pPr>
              <w:spacing w:after="0"/>
              <w:rPr>
                <w:sz w:val="6"/>
                <w:szCs w:val="6"/>
                <w:color w:val="auto"/>
              </w:rPr>
            </w:pPr>
          </w:p>
        </w:tc>
        <w:tc>
          <w:tcPr>
            <w:tcW w:w="1440" w:type="dxa"/>
            <w:vAlign w:val="bottom"/>
            <w:tcBorders>
              <w:right w:val="single" w:sz="8" w:color="auto"/>
            </w:tcBorders>
            <w:vMerge w:val="restart"/>
          </w:tcPr>
          <w:p>
            <w:pPr xmlns:w="http://schemas.openxmlformats.org/wordprocessingml/2006/main">
              <w:spacing w:after="0"/>
              <w:rPr>
                <w:sz w:val="20"/>
                <w:szCs w:val="20"/>
                <w:color w:val="auto"/>
              </w:rPr>
            </w:pPr>
            <w:r>
              <w:rPr xmlns:w="http://schemas.openxmlformats.org/wordprocessingml/2006/main">
                <w:rFonts w:ascii="Calibri" w:cs="Calibri" w:eastAsia="Calibri" w:hAnsi="Calibri"/>
                <w:sz w:val="18"/>
                <w:szCs w:val="18"/>
                <w:color w:val="auto"/>
              </w:rPr>
              <w:t xml:space="preserve">NIE DOTYCZY</w:t>
            </w:r>
          </w:p>
        </w:tc>
        <w:tc>
          <w:tcPr>
            <w:tcW w:w="120" w:type="dxa"/>
            <w:vAlign w:val="bottom"/>
          </w:tcPr>
          <w:p>
            <w:pPr>
              <w:spacing w:after="0"/>
              <w:rPr>
                <w:sz w:val="6"/>
                <w:szCs w:val="6"/>
                <w:color w:val="auto"/>
              </w:rPr>
            </w:pPr>
          </w:p>
        </w:tc>
        <w:tc>
          <w:tcPr>
            <w:tcW w:w="0" w:type="dxa"/>
            <w:vAlign w:val="bottom"/>
          </w:tcPr>
          <w:p>
            <w:pPr>
              <w:spacing w:after="0"/>
              <w:rPr>
                <w:sz w:val="1"/>
                <w:szCs w:val="1"/>
                <w:color w:val="auto"/>
              </w:rPr>
            </w:pPr>
          </w:p>
        </w:tc>
      </w:tr>
      <w:tr>
        <w:trPr>
          <w:trHeight w:val="214"/>
        </w:trPr>
        <w:tc>
          <w:tcPr>
            <w:tcW w:w="5300" w:type="dxa"/>
            <w:vAlign w:val="bottom"/>
            <w:tcBorders>
              <w:right w:val="single" w:sz="8" w:color="auto"/>
            </w:tcBorders>
          </w:tcPr>
          <w:p>
            <w:pPr xmlns:w="http://schemas.openxmlformats.org/wordprocessingml/2006/main">
              <w:ind w:left="100"/>
              <w:spacing w:after="0" w:line="214" w:lineRule="exact"/>
              <w:rPr>
                <w:sz w:val="20"/>
                <w:szCs w:val="20"/>
                <w:color w:val="auto"/>
              </w:rPr>
            </w:pPr>
            <w:r>
              <w:rPr xmlns:w="http://schemas.openxmlformats.org/wordprocessingml/2006/main">
                <w:rFonts w:ascii="Calibri" w:cs="Calibri" w:eastAsia="Calibri" w:hAnsi="Calibri"/>
                <w:sz w:val="22"/>
                <w:szCs w:val="22"/>
                <w:color w:val="auto"/>
              </w:rPr>
              <w:t xml:space="preserve">rozliczanie tego produktu członkom rozliczającym, ale nie</w:t>
            </w:r>
          </w:p>
        </w:tc>
        <w:tc>
          <w:tcPr>
            <w:tcW w:w="10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2080" w:type="dxa"/>
            <w:vAlign w:val="bottom"/>
            <w:tcBorders>
              <w:bottom w:val="single" w:sz="8" w:color="auto"/>
              <w:right w:val="single" w:sz="8" w:color="auto"/>
            </w:tcBorders>
            <w:gridSpan w:val="5"/>
            <w:vMerge w:val="continue"/>
          </w:tcPr>
          <w:p>
            <w:pPr>
              <w:spacing w:after="0"/>
              <w:rPr>
                <w:sz w:val="18"/>
                <w:szCs w:val="18"/>
                <w:color w:val="auto"/>
              </w:rPr>
            </w:pPr>
          </w:p>
        </w:tc>
        <w:tc>
          <w:tcPr>
            <w:tcW w:w="80" w:type="dxa"/>
            <w:vAlign w:val="bottom"/>
            <w:tcBorders>
              <w:bottom w:val="single" w:sz="8" w:color="auto"/>
            </w:tcBorders>
          </w:tcPr>
          <w:p>
            <w:pPr>
              <w:spacing w:after="0"/>
              <w:rPr>
                <w:sz w:val="18"/>
                <w:szCs w:val="18"/>
                <w:color w:val="auto"/>
              </w:rPr>
            </w:pPr>
          </w:p>
        </w:tc>
        <w:tc>
          <w:tcPr>
            <w:tcW w:w="1440" w:type="dxa"/>
            <w:vAlign w:val="bottom"/>
            <w:tcBorders>
              <w:bottom w:val="single" w:sz="8" w:color="auto"/>
              <w:right w:val="single" w:sz="8" w:color="auto"/>
            </w:tcBorders>
            <w:vMerge w:val="continue"/>
          </w:tcPr>
          <w:p>
            <w:pPr>
              <w:spacing w:after="0"/>
              <w:rPr>
                <w:sz w:val="18"/>
                <w:szCs w:val="18"/>
                <w:color w:val="auto"/>
              </w:rPr>
            </w:pPr>
          </w:p>
        </w:tc>
        <w:tc>
          <w:tcPr>
            <w:tcW w:w="120" w:type="dxa"/>
            <w:vAlign w:val="bottom"/>
          </w:tcPr>
          <w:p>
            <w:pPr>
              <w:spacing w:after="0"/>
              <w:rPr>
                <w:sz w:val="18"/>
                <w:szCs w:val="18"/>
                <w:color w:val="auto"/>
              </w:rPr>
            </w:pPr>
          </w:p>
        </w:tc>
        <w:tc>
          <w:tcPr>
            <w:tcW w:w="0" w:type="dxa"/>
            <w:vAlign w:val="bottom"/>
          </w:tcPr>
          <w:p>
            <w:pPr>
              <w:spacing w:after="0"/>
              <w:rPr>
                <w:sz w:val="1"/>
                <w:szCs w:val="1"/>
                <w:color w:val="auto"/>
              </w:rPr>
            </w:pPr>
          </w:p>
        </w:tc>
      </w:tr>
    </w:tbl>
    <w:p>
      <w:pPr>
        <w:spacing w:after="0" w:line="36"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color w:val="auto"/>
        </w:rPr>
        <w:t xml:space="preserve">bezpośrednio do Ciebie: </w:t>
      </w:r>
      <w:r>
        <w:rPr xmlns:w="http://schemas.openxmlformats.org/wordprocessingml/2006/main">
          <w:rFonts w:ascii="Calibri" w:cs="Calibri" w:eastAsia="Calibri" w:hAnsi="Calibri"/>
          <w:sz w:val="22"/>
          <w:szCs w:val="22"/>
          <w:u w:val="single" w:color="auto"/>
          <w:color w:val="0563C1"/>
        </w:rPr>
        <w:t xml:space="preserve">https://www.theocc.com/company-information/schedule-of-fees</w:t>
      </w:r>
      <w:r>
        <w:rPr xmlns:w="http://schemas.openxmlformats.org/wordprocessingml/2006/main">
          <w:rFonts w:ascii="Calibri" w:cs="Calibri" w:eastAsia="Calibri" w:hAnsi="Calibri"/>
          <w:sz w:val="22"/>
          <w:szCs w:val="22"/>
          <w:color w:val="auto"/>
        </w:rPr>
        <w:t xml:space="preserve">.</w:t>
      </w:r>
    </w:p>
    <w:p>
      <w:pPr>
        <w:spacing w:after="0" w:line="10" w:lineRule="exact"/>
        <w:rPr>
          <w:sz w:val="20"/>
          <w:szCs w:val="20"/>
          <w:color w:val="auto"/>
        </w:rPr>
      </w:pPr>
    </w:p>
    <w:p>
      <w:pPr xmlns:w="http://schemas.openxmlformats.org/wordprocessingml/2006/main">
        <w:ind w:left="220"/>
        <w:spacing w:after="0"/>
        <w:rPr>
          <w:sz w:val="20"/>
          <w:szCs w:val="20"/>
          <w:color w:val="auto"/>
        </w:rPr>
      </w:pPr>
      <w:r>
        <w:rPr xmlns:w="http://schemas.openxmlformats.org/wordprocessingml/2006/main">
          <w:rFonts w:ascii="Calibri" w:cs="Calibri" w:eastAsia="Calibri" w:hAnsi="Calibri"/>
          <w:sz w:val="22"/>
          <w:szCs w:val="22"/>
          <w:b w:val="1"/>
          <w:bCs w:val="1"/>
          <w:color w:val="auto"/>
        </w:rPr>
        <w:t xml:space="preserve">Jak długo mam go trzymać i czy mogę wcześnie wyjść z transakcji (czy mogę wcześniej wyjąć pieniądze)?</w:t>
      </w:r>
    </w:p>
    <w:p>
      <w:pPr>
        <w:spacing w:after="0" w:line="67" w:lineRule="exact"/>
        <w:rPr>
          <w:sz w:val="20"/>
          <w:szCs w:val="20"/>
          <w:color w:val="auto"/>
        </w:rPr>
      </w:pPr>
    </w:p>
    <w:p>
      <w:pPr xmlns:w="http://schemas.openxmlformats.org/wordprocessingml/2006/main">
        <w:ind w:left="220" w:right="160"/>
        <w:spacing w:after="0" w:line="232"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Zalecany okres przechowywania: Brak.</w:t>
      </w:r>
      <w:r>
        <w:rPr xmlns:w="http://schemas.openxmlformats.org/wordprocessingml/2006/main">
          <w:rFonts w:ascii="Calibri" w:cs="Calibri" w:eastAsia="Calibri" w:hAnsi="Calibri"/>
          <w:sz w:val="22"/>
          <w:szCs w:val="22"/>
          <w:color w:val="auto"/>
        </w:rPr>
        <w:t xml:space="preserve"> Decyzja o wykonaniu opcji jest dla posiadacza kluczową decyzją inwestycyjną, podobnie jak decyzja zarówno posiadaczy opcji, jak i emitentów o zamknięciu istniejącej pozycji opcyjnej przed wygaśnięciem lub wykonaniem opcji.</w:t>
      </w:r>
      <w:r>
        <w:rPr xmlns:w="http://schemas.openxmlformats.org/wordprocessingml/2006/main">
          <w:rFonts w:ascii="Calibri" w:cs="Calibri" w:eastAsia="Calibri" w:hAnsi="Calibri"/>
          <w:sz w:val="22"/>
          <w:szCs w:val="22"/>
          <w:color w:val="auto"/>
        </w:rPr>
        <w:t xml:space="preserve"> W związku z tym inwestorzy ponoszą wyłączną odpowiedzialność za ustalenie, czy i kiedy powinni wykonać kontrakt (kontrakty) opcyjne, czy też zamknąć istniejącą pozycję opcyjną.</w:t>
      </w:r>
      <w:r>
        <w:rPr xmlns:w="http://schemas.openxmlformats.org/wordprocessingml/2006/main">
          <w:rFonts w:ascii="Calibri" w:cs="Calibri" w:eastAsia="Calibri" w:hAnsi="Calibri"/>
          <w:sz w:val="22"/>
          <w:szCs w:val="22"/>
          <w:color w:val="auto"/>
        </w:rPr>
        <w:t xml:space="preserve"> Inwestorzy, którzy zamykają istniejącą pozycję opcyjną, rezygnują z wszelkich późniejszych zysków lub strat związanych z tą opcją.</w:t>
      </w:r>
      <w:r>
        <w:rPr xmlns:w="http://schemas.openxmlformats.org/wordprocessingml/2006/main">
          <w:rFonts w:ascii="Calibri" w:cs="Calibri" w:eastAsia="Calibri" w:hAnsi="Calibri"/>
          <w:sz w:val="22"/>
          <w:szCs w:val="22"/>
          <w:color w:val="auto"/>
        </w:rPr>
        <w:t xml:space="preserve"> Wszystkie opcje mają datę wygaśnięcia, po której opcja nie będzie miała wartości i nie będzie już istnieć.</w:t>
      </w:r>
      <w:r>
        <w:rPr xmlns:w="http://schemas.openxmlformats.org/wordprocessingml/2006/main">
          <w:rFonts w:ascii="Calibri" w:cs="Calibri" w:eastAsia="Calibri" w:hAnsi="Calibri"/>
          <w:sz w:val="22"/>
          <w:szCs w:val="22"/>
          <w:color w:val="auto"/>
        </w:rPr>
        <w:t xml:space="preserve"> Posiadacze opcji w stylu amerykańskim, którzy chcą skorzystać z nich przed upływem terminu ważności, mogą to zrobić, przekazując brokerowi instrukcje dotyczące wykonania opcji, zgodnie z procedurą brokera.</w:t>
      </w:r>
    </w:p>
    <w:p>
      <w:pPr>
        <w:spacing w:after="0" w:line="81" w:lineRule="exact"/>
        <w:rPr>
          <w:sz w:val="20"/>
          <w:szCs w:val="20"/>
          <w:color w:val="auto"/>
        </w:rPr>
      </w:pPr>
    </w:p>
    <w:p>
      <w:pPr xmlns:w="http://schemas.openxmlformats.org/wordprocessingml/2006/main">
        <w:ind w:left="220" w:right="560"/>
        <w:spacing w:after="0" w:line="220" w:lineRule="auto"/>
        <w:rPr>
          <w:sz w:val="20"/>
          <w:szCs w:val="20"/>
          <w:color w:val="auto"/>
        </w:rPr>
      </w:pPr>
      <w:r>
        <w:rPr xmlns:w="http://schemas.openxmlformats.org/wordprocessingml/2006/main">
          <w:rFonts w:ascii="Calibri" w:cs="Calibri" w:eastAsia="Calibri" w:hAnsi="Calibri"/>
          <w:sz w:val="22"/>
          <w:szCs w:val="22"/>
          <w:b w:val="1"/>
          <w:bCs w:val="1"/>
          <w:color w:val="auto"/>
        </w:rPr>
        <w:t xml:space="preserve">Jak mogę złożyć skargę?</w:t>
      </w:r>
      <w:r>
        <w:rPr xmlns:w="http://schemas.openxmlformats.org/wordprocessingml/2006/main">
          <w:rFonts w:ascii="Calibri" w:cs="Calibri" w:eastAsia="Calibri" w:hAnsi="Calibri"/>
          <w:sz w:val="22"/>
          <w:szCs w:val="22"/>
          <w:color w:val="auto"/>
        </w:rPr>
        <w:t xml:space="preserve"> Inwestorzy mogą kontaktować się z OCC pod adresem </w:t>
      </w:r>
      <w:r>
        <w:rPr xmlns:w="http://schemas.openxmlformats.org/wordprocessingml/2006/main">
          <w:rFonts w:ascii="Calibri" w:cs="Calibri" w:eastAsia="Calibri" w:hAnsi="Calibri"/>
          <w:sz w:val="22"/>
          <w:szCs w:val="22"/>
          <w:u w:val="single" w:color="auto"/>
          <w:color w:val="0563C1"/>
        </w:rPr>
        <w:t xml:space="preserve">investorservices@theocc.com</w:t>
      </w:r>
      <w:r>
        <w:rPr xmlns:w="http://schemas.openxmlformats.org/wordprocessingml/2006/main">
          <w:rFonts w:ascii="Calibri" w:cs="Calibri" w:eastAsia="Calibri" w:hAnsi="Calibri"/>
          <w:sz w:val="22"/>
          <w:szCs w:val="22"/>
          <w:color w:val="auto"/>
        </w:rPr>
        <w:t xml:space="preserve">.</w:t>
      </w:r>
      <w:r>
        <w:rPr xmlns:w="http://schemas.openxmlformats.org/wordprocessingml/2006/main">
          <w:rFonts w:ascii="Calibri" w:cs="Calibri" w:eastAsia="Calibri" w:hAnsi="Calibri"/>
          <w:sz w:val="22"/>
          <w:szCs w:val="22"/>
          <w:color w:val="auto"/>
        </w:rPr>
        <w:t xml:space="preserve"> Inwestorzy mogą również złożyć skargę do Urzędu Regulacji Sektora Finansowego ("FINRA") (</w:t>
      </w:r>
      <w:r>
        <w:rPr xmlns:w="http://schemas.openxmlformats.org/wordprocessingml/2006/main">
          <w:rFonts w:ascii="Calibri" w:cs="Calibri" w:eastAsia="Calibri" w:hAnsi="Calibri"/>
          <w:sz w:val="22"/>
          <w:szCs w:val="22"/>
          <w:u w:val="single" w:color="auto"/>
          <w:color w:val="0563C1"/>
        </w:rPr>
        <w:t xml:space="preserve">http://www.finra.org/investors/investor-complaint-center</w:t>
      </w:r>
      <w:r>
        <w:rPr xmlns:w="http://schemas.openxmlformats.org/wordprocessingml/2006/main">
          <w:rFonts w:ascii="Calibri" w:cs="Calibri" w:eastAsia="Calibri" w:hAnsi="Calibri"/>
          <w:sz w:val="22"/>
          <w:szCs w:val="22"/>
          <w:color w:val="000000"/>
        </w:rPr>
        <w:t xml:space="preserve">) lub SEC (</w:t>
      </w:r>
      <w:r>
        <w:rPr xmlns:w="http://schemas.openxmlformats.org/wordprocessingml/2006/main">
          <w:rFonts w:ascii="Calibri" w:cs="Calibri" w:eastAsia="Calibri" w:hAnsi="Calibri"/>
          <w:sz w:val="22"/>
          <w:szCs w:val="22"/>
          <w:u w:val="single" w:color="auto"/>
          <w:color w:val="0563C1"/>
        </w:rPr>
        <w:t xml:space="preserve">https://www.sec.gov/oiea/Complaint.html</w:t>
      </w:r>
      <w:r>
        <w:rPr xmlns:w="http://schemas.openxmlformats.org/wordprocessingml/2006/main">
          <w:rFonts w:ascii="Calibri" w:cs="Calibri" w:eastAsia="Calibri" w:hAnsi="Calibri"/>
          <w:sz w:val="22"/>
          <w:szCs w:val="22"/>
          <w:color w:val="000000"/>
        </w:rPr>
        <w:t xml:space="preserve">).</w:t>
      </w:r>
    </w:p>
    <w:p>
      <w:pPr>
        <w:spacing w:after="0" w:line="5" w:lineRule="exact"/>
        <w:rPr>
          <w:sz w:val="20"/>
          <w:szCs w:val="20"/>
          <w:color w:val="auto"/>
        </w:rPr>
      </w:pPr>
    </w:p>
    <w:p>
      <w:pPr xmlns:w="http://schemas.openxmlformats.org/wordprocessingml/2006/main">
        <w:ind w:left="340"/>
        <w:spacing w:after="0"/>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Centrum Reklamacji Inwestorów FINRA</w:t>
        <w:tab xmlns:w="http://schemas.openxmlformats.org/wordprocessingml/2006/main"/>
      </w:r>
      <w:r>
        <w:rPr xmlns:w="http://schemas.openxmlformats.org/wordprocessingml/2006/main">
          <w:rFonts w:ascii="Calibri" w:cs="Calibri" w:eastAsia="Calibri" w:hAnsi="Calibri"/>
          <w:sz w:val="20"/>
          <w:szCs w:val="20"/>
          <w:color w:val="auto"/>
        </w:rPr>
        <w:t xml:space="preserve">USA.</w:t>
      </w:r>
      <w:r>
        <w:rPr xmlns:w="http://schemas.openxmlformats.org/wordprocessingml/2006/main">
          <w:rFonts w:ascii="Calibri" w:cs="Calibri" w:eastAsia="Calibri" w:hAnsi="Calibri"/>
          <w:sz w:val="20"/>
          <w:szCs w:val="20"/>
          <w:color w:val="auto"/>
        </w:rPr>
        <w:t xml:space="preserve"> Komisja Papierów Wartościowych i Giełd</w:t>
      </w:r>
    </w:p>
    <w:p>
      <w:pPr xmlns:w="http://schemas.openxmlformats.org/wordprocessingml/2006/main">
        <w:ind w:left="380"/>
        <w:spacing w:after="0" w:line="238" w:lineRule="auto"/>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9509 Key West Avenue</w:t>
        <w:tab xmlns:w="http://schemas.openxmlformats.org/wordprocessingml/2006/main"/>
      </w:r>
      <w:r>
        <w:rPr xmlns:w="http://schemas.openxmlformats.org/wordprocessingml/2006/main">
          <w:rFonts w:ascii="Calibri" w:cs="Calibri" w:eastAsia="Calibri" w:hAnsi="Calibri"/>
          <w:sz w:val="20"/>
          <w:szCs w:val="20"/>
          <w:color w:val="auto"/>
        </w:rPr>
        <w:t xml:space="preserve">Biuro Edukacji i Rzecznictwa Inwestorskiego</w:t>
      </w:r>
    </w:p>
    <w:p>
      <w:pPr>
        <w:spacing w:after="0" w:line="1" w:lineRule="exact"/>
        <w:rPr>
          <w:sz w:val="20"/>
          <w:szCs w:val="20"/>
          <w:color w:val="auto"/>
        </w:rPr>
      </w:pPr>
    </w:p>
    <w:p>
      <w:pPr xmlns:w="http://schemas.openxmlformats.org/wordprocessingml/2006/main">
        <w:ind w:left="380"/>
        <w:spacing w:after="0"/>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Rockville, MD 20850-3329</w:t>
        <w:tab xmlns:w="http://schemas.openxmlformats.org/wordprocessingml/2006/main"/>
      </w:r>
      <w:r>
        <w:rPr xmlns:w="http://schemas.openxmlformats.org/wordprocessingml/2006/main">
          <w:rFonts w:ascii="Calibri" w:cs="Calibri" w:eastAsia="Calibri" w:hAnsi="Calibri"/>
          <w:sz w:val="19"/>
          <w:szCs w:val="19"/>
          <w:color w:val="auto"/>
        </w:rPr>
        <w:t xml:space="preserve">100 F Street, Gdzie Indziej Niewymienione.</w:t>
      </w:r>
    </w:p>
    <w:p>
      <w:pPr>
        <w:spacing w:after="0" w:line="1" w:lineRule="exact"/>
        <w:rPr>
          <w:sz w:val="20"/>
          <w:szCs w:val="20"/>
          <w:color w:val="auto"/>
        </w:rPr>
      </w:pPr>
    </w:p>
    <w:p>
      <w:pPr xmlns:w="http://schemas.openxmlformats.org/wordprocessingml/2006/main">
        <w:ind w:left="380"/>
        <w:spacing w:after="0"/>
        <w:tabs>
          <w:tab w:leader="none" w:pos="5040" w:val="left"/>
        </w:tabs>
        <w:rPr>
          <w:sz w:val="20"/>
          <w:szCs w:val="20"/>
          <w:color w:val="auto"/>
        </w:rPr>
      </w:pPr>
      <w:r>
        <w:rPr xmlns:w="http://schemas.openxmlformats.org/wordprocessingml/2006/main">
          <w:rFonts w:ascii="Calibri" w:cs="Calibri" w:eastAsia="Calibri" w:hAnsi="Calibri"/>
          <w:sz w:val="20"/>
          <w:szCs w:val="20"/>
          <w:color w:val="auto"/>
        </w:rPr>
        <w:t xml:space="preserve">Telefon: (240) 386-HELP (4357) Faks: (866) 397-3290</w:t>
        <w:tab xmlns:w="http://schemas.openxmlformats.org/wordprocessingml/2006/main"/>
      </w:r>
      <w:r>
        <w:rPr xmlns:w="http://schemas.openxmlformats.org/wordprocessingml/2006/main">
          <w:rFonts w:ascii="Calibri" w:cs="Calibri" w:eastAsia="Calibri" w:hAnsi="Calibri"/>
          <w:sz w:val="19"/>
          <w:szCs w:val="19"/>
          <w:color w:val="auto"/>
        </w:rPr>
        <w:t xml:space="preserve">Waszyngton, DC 20549-0213 Faks: (202) 772-9295</w:t>
      </w:r>
    </w:p>
    <w:p>
      <w:pPr>
        <w:spacing w:after="0" w:line="20" w:lineRule="exact"/>
        <w:rPr>
          <w:sz w:val="20"/>
          <w:szCs w:val="20"/>
          <w:color w:val="auto"/>
        </w:rPr>
      </w:pPr>
      <w:r>
        <w:rPr>
          <w:sz w:val="20"/>
          <w:szCs w:val="20"/>
          <w:color w:val="auto"/>
        </w:rPr>
        <mc:AlternateContent>
          <mc:Choice Requires="wps">
            <w:drawing>
              <wp:anchor simplePos="0" relativeHeight="251657728" behindDoc="1" locked="0" layoutInCell="0" allowOverlap="1">
                <wp:simplePos x="0" y="0"/>
                <wp:positionH relativeFrom="column">
                  <wp:posOffset>71120</wp:posOffset>
                </wp:positionH>
                <wp:positionV relativeFrom="paragraph">
                  <wp:posOffset>14605</wp:posOffset>
                </wp:positionV>
                <wp:extent cx="6753225" cy="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SpPr/>
                      <wps:spPr>
                        <a:xfrm>
                          <a:off x="0" y="0"/>
                          <a:ext cx="675322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5.6pt,1.15pt" to="537.35pt,1.15pt" o:allowincell="f" strokecolor="#000000" strokeweight="0.4799pt"/>
            </w:pict>
          </mc:Fallback>
        </mc:AlternateContent>
      </w:r>
    </w:p>
    <w:p>
      <w:pPr>
        <w:sectPr>
          <w:pgSz w:w="12240" w:h="15840" w:orient="portrait"/>
          <w:cols w:equalWidth="0" w:num="1">
            <w:col w:w="10740"/>
          </w:cols>
          <w:pgMar w:left="720" w:top="774" w:right="780" w:bottom="650" w:gutter="0" w:footer="0" w:header="0"/>
        </w:sectPr>
      </w:pPr>
    </w:p>
    <w:p>
      <w:pPr>
        <w:spacing w:after="0" w:line="7" w:lineRule="exact"/>
        <w:rPr>
          <w:sz w:val="20"/>
          <w:szCs w:val="20"/>
          <w:color w:val="auto"/>
        </w:rPr>
      </w:pPr>
    </w:p>
    <w:p>
      <w:pPr xmlns:w="http://schemas.openxmlformats.org/wordprocessingml/2006/main">
        <w:spacing w:after="0"/>
        <w:rPr>
          <w:sz w:val="20"/>
          <w:szCs w:val="20"/>
          <w:color w:val="auto"/>
        </w:rPr>
      </w:pPr>
      <w:r>
        <w:rPr xmlns:w="http://schemas.openxmlformats.org/wordprocessingml/2006/main">
          <w:rFonts w:ascii="Calibri" w:cs="Calibri" w:eastAsia="Calibri" w:hAnsi="Calibri"/>
          <w:sz w:val="22"/>
          <w:szCs w:val="22"/>
          <w:color w:val="auto"/>
        </w:rPr>
        <w:t xml:space="preserve">©2023 The Options Clearing Corporation.</w:t>
      </w:r>
      <w:r>
        <w:rPr xmlns:w="http://schemas.openxmlformats.org/wordprocessingml/2006/main">
          <w:rFonts w:ascii="Calibri" w:cs="Calibri" w:eastAsia="Calibri" w:hAnsi="Calibri"/>
          <w:sz w:val="22"/>
          <w:szCs w:val="22"/>
          <w:color w:val="auto"/>
        </w:rPr>
        <w:t xml:space="preserve"> Wszelkie prawa zastrzeżone.</w:t>
      </w:r>
    </w:p>
    <w:sectPr>
      <w:pgSz w:w="12240" w:h="15840" w:orient="portrait"/>
      <w:cols w:equalWidth="0" w:num="1">
        <w:col w:w="10740"/>
      </w:cols>
      <w:pgMar w:left="720" w:top="774" w:right="780" w:bottom="65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auto"/>
    <w:pitch w:val="variable"/>
    <w:sig w:usb0="00000000" w:usb1="00000000" w:usb2="00000000" w:usb3="00000000" w:csb0="80000000" w:csb1="00000000"/>
  </w:font>
</w:fonts>
</file>

<file path=word/numbering.xml><?xml version="1.0" encoding="utf-8"?>
<w:numbering xmlns:w="http://schemas.openxmlformats.org/wordprocessingml/2006/main">
  <w:abstractNum w:abstractNumId="0">
    <w:nsid w:val="598F4667"/>
    <w:multiLevelType w:val="hybridMultilevel"/>
    <w:lvl w:ilvl="0">
      <w:lvlJc w:val="left"/>
      <w:lvlText w:val="·"/>
      <w:numFmt w:val="bullet"/>
      <w:start w:val="1"/>
    </w:lvl>
  </w:abstractNum>
  <w:abstractNum w:abstractNumId="1">
    <w:nsid w:val="486864C5"/>
    <w:multiLevelType w:val="hybridMultilevel"/>
    <w:lvl w:ilvl="0">
      <w:lvlJc w:val="left"/>
      <w:lvlText w:val="·"/>
      <w:numFmt w:val="bullet"/>
      <w:start w:val="1"/>
    </w:lvl>
  </w:abstractNum>
  <w:abstractNum w:abstractNumId="2">
    <w:nsid w:val="3A0294A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1" Type="http://schemas.openxmlformats.org/officeDocument/2006/relationships/numbering" Target="numbering.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2024-05-21T09:44:15Z</dcterms:created>
  <dcterms:modified xsi:type="dcterms:W3CDTF">2024-05-21T09:44:15Z</dcterms:modified>
</cp:coreProperties>
</file>