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68.4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68.4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68.4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68.4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89254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254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89254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254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gestandaardiseerde opties voor vreemde valuta (long call)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40"/>
        <w:spacing w:after="0" w:line="22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opties voor vreemde valuta</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gestandaardiseerde opties in vreemde valuta ("FX") (a / k / a "beursgenoteerde opties").</w:t>
      </w:r>
      <w:r>
        <w:rPr xmlns:w="http://schemas.openxmlformats.org/wordprocessingml/2006/main">
          <w:rFonts w:ascii="Calibri" w:cs="Calibri" w:eastAsia="Calibri" w:hAnsi="Calibri"/>
          <w:sz w:val="22"/>
          <w:szCs w:val="22"/>
          <w:color w:val="auto"/>
        </w:rPr>
        <w:t xml:space="preserve"> De gestandaardiseerde FX-opties worden genoteerd en verhandeld op Amerikaanse opties beurzen die zijn geregistreerd bij de Amerikaanse Securities and Exchange Commission ("SEC") en worden uitgegeven, gecleard en afgewikkeld door OCC, een SEC-geregistreerd clearingagentschap.</w:t>
      </w:r>
    </w:p>
    <w:p>
      <w:pPr>
        <w:spacing w:after="0" w:line="70" w:lineRule="exact"/>
        <w:rPr>
          <w:sz w:val="24"/>
          <w:szCs w:val="24"/>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Voor meer informatie, inclusief de contactgegevens voor de Amerikaanse 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77" w:lineRule="exact"/>
        <w:rPr>
          <w:sz w:val="24"/>
          <w:szCs w:val="24"/>
          <w:color w:val="auto"/>
        </w:rPr>
      </w:pPr>
    </w:p>
    <w:p>
      <w:pPr xmlns:w="http://schemas.openxmlformats.org/wordprocessingml/2006/main">
        <w:ind w:right="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FX-opties verhandelen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542861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542861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427.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FX-optie is het recht om een valuta ("onderliggende valuta") te kopen of verkopen tegen een vaste prijs ("uitoefenprijs"), luidende in een andere valuta ("handelsvaluta"), die de "wisselkoers" tussen de valuta's vertegenwoordigt, door de optie vóór het verstrijken uit te oefenen.</w:t>
      </w:r>
      <w:r>
        <w:rPr xmlns:w="http://schemas.openxmlformats.org/wordprocessingml/2006/main">
          <w:rFonts w:ascii="Calibri" w:cs="Calibri" w:eastAsia="Calibri" w:hAnsi="Calibri"/>
          <w:sz w:val="22"/>
          <w:szCs w:val="22"/>
          <w:color w:val="auto"/>
        </w:rPr>
        <w:t xml:space="preserve"> De blootstelling aan de onderliggende valuta is derhalve indirect omdat de waarde van de optie wordt afgeleid van de onderliggende valutawaarde.</w:t>
      </w:r>
      <w:r>
        <w:rPr xmlns:w="http://schemas.openxmlformats.org/wordprocessingml/2006/main">
          <w:rFonts w:ascii="Calibri" w:cs="Calibri" w:eastAsia="Calibri" w:hAnsi="Calibri"/>
          <w:sz w:val="22"/>
          <w:szCs w:val="22"/>
          <w:color w:val="auto"/>
        </w:rPr>
        <w:t xml:space="preserve"> Vervaldata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In bepaalde gevallen kan een actie van de emittent van vreemde valuta resulteren in een wijziging van de voorwaarden van de optie op grond van de regels van de OCC, die kunnen verschillen van de methodologie op de Europese markten.</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te presteren volgens de voorwaarden om de onderliggende valuta te kopen of verkopen tegen de uitoefenprijs.</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(vervaldatum).</w:t>
      </w:r>
      <w:r>
        <w:rPr xmlns:w="http://schemas.openxmlformats.org/wordprocessingml/2006/main">
          <w:rFonts w:ascii="Calibri" w:cs="Calibri" w:eastAsia="Calibri" w:hAnsi="Calibri"/>
          <w:sz w:val="22"/>
          <w:szCs w:val="22"/>
          <w:color w:val="auto"/>
        </w:rPr>
        <w:t xml:space="preserve"> Standaardopties zijn over het algemeen fysiek afgewikkeld, maar kunnen ook contant worden afgewikkeld.</w:t>
      </w:r>
      <w:r>
        <w:rPr xmlns:w="http://schemas.openxmlformats.org/wordprocessingml/2006/main">
          <w:rFonts w:ascii="Calibri" w:cs="Calibri" w:eastAsia="Calibri" w:hAnsi="Calibri"/>
          <w:sz w:val="22"/>
          <w:szCs w:val="22"/>
          <w:color w:val="auto"/>
        </w:rPr>
        <w:t xml:space="preserve"> Fysieke afwikkeling geeft de houder het recht om de onderliggende waarde bij de uitoefening te ontvangen (oproepen) of fysiek af te leveren (put).</w:t>
      </w:r>
      <w:r>
        <w:rPr xmlns:w="http://schemas.openxmlformats.org/wordprocessingml/2006/main">
          <w:rFonts w:ascii="Calibri" w:cs="Calibri" w:eastAsia="Calibri" w:hAnsi="Calibri"/>
          <w:sz w:val="22"/>
          <w:szCs w:val="22"/>
          <w:color w:val="auto"/>
        </w:rPr>
        <w:t xml:space="preserve"> Bij afwikkeling in contanten heeft een houder het recht een contante betaling te ontvangen indien een bepaalde waarde van de onderliggende waarde bij de uitoefening hoger (call) of lager is dan (put) de uitoefenprijs.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de onderliggende en handelsvaluta's en hun gevoeligheid voor prijsschommelingen (volatiliteit).</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528320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41.6pt" to="521.4pt,41.6pt" o:allowincell="f" strokecolor="#000000" strokeweight="0.4799pt"/>
            </w:pict>
          </mc:Fallback>
        </mc:AlternateContent>
      </w:r>
    </w:p>
    <w:p>
      <w:pPr>
        <w:sectPr>
          <w:pgSz w:w="12240" w:h="15840" w:orient="portrait"/>
          <w:cols w:equalWidth="0" w:num="1">
            <w:col w:w="10300"/>
          </w:cols>
          <w:pgMar w:left="940" w:top="699"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9731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9731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4.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9731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9731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4.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ind w:right="12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jc w:val="both"/>
        <w:ind w:left="220" w:right="1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houder kan de volledige premie verliezen als de uitoefenprijs voor een call boven de marktwaarde van de onderliggende waarde ligt of als de uitoefenprijs voor een put daaronder ligt.</w:t>
      </w:r>
      <w:r>
        <w:rPr xmlns:w="http://schemas.openxmlformats.org/wordprocessingml/2006/main">
          <w:rFonts w:ascii="Calibri" w:cs="Calibri" w:eastAsia="Calibri" w:hAnsi="Calibri"/>
          <w:sz w:val="22"/>
          <w:szCs w:val="22"/>
          <w:color w:val="auto"/>
        </w:rPr>
        <w:t xml:space="preserve"> In beide gevallen wordt gezegd dat de optie "uit het geld" verloopt.</w:t>
      </w:r>
      <w:r>
        <w:rPr xmlns:w="http://schemas.openxmlformats.org/wordprocessingml/2006/main">
          <w:rFonts w:ascii="Calibri" w:cs="Calibri" w:eastAsia="Calibri" w:hAnsi="Calibri"/>
          <w:sz w:val="22"/>
          <w:szCs w:val="22"/>
          <w:color w:val="auto"/>
        </w:rPr>
        <w:t xml:space="preserve"> Een houder die zijn optie niet verkoopt of uitoefent vóór het verstrijken ervan, kan zijn volledige investering verliezen.</w:t>
      </w:r>
    </w:p>
    <w:p>
      <w:pPr>
        <w:spacing w:after="0" w:line="79" w:lineRule="exact"/>
        <w:rPr>
          <w:rFonts w:ascii="Symbol" w:cs="Symbol" w:eastAsia="Symbol" w:hAnsi="Symbol"/>
          <w:sz w:val="22"/>
          <w:szCs w:val="22"/>
          <w:color w:val="auto"/>
        </w:rPr>
      </w:pPr>
    </w:p>
    <w:p>
      <w:pPr xmlns:w="http://schemas.openxmlformats.org/wordprocessingml/2006/main">
        <w:ind w:left="220" w:right="20" w:hanging="214"/>
        <w:spacing w:after="0" w:line="216"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waarden van onderliggende of gerelateerde belangen.</w:t>
      </w:r>
    </w:p>
    <w:p>
      <w:pPr>
        <w:spacing w:after="0" w:line="80" w:lineRule="exact"/>
        <w:rPr>
          <w:rFonts w:ascii="Symbol" w:cs="Symbol" w:eastAsia="Symbol" w:hAnsi="Symbol"/>
          <w:sz w:val="22"/>
          <w:szCs w:val="22"/>
          <w:color w:val="auto"/>
        </w:rPr>
      </w:pPr>
    </w:p>
    <w:p>
      <w:pPr xmlns:w="http://schemas.openxmlformats.org/wordprocessingml/2006/main">
        <w:ind w:left="220" w:right="66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de onderliggende valuta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26" w:lineRule="exact"/>
        <w:rPr>
          <w:rFonts w:ascii="Symbol" w:cs="Symbol" w:eastAsia="Symbol" w:hAnsi="Symbol"/>
          <w:sz w:val="22"/>
          <w:szCs w:val="22"/>
          <w:color w:val="auto"/>
        </w:rPr>
      </w:pPr>
    </w:p>
    <w:p>
      <w:pPr xmlns:w="http://schemas.openxmlformats.org/wordprocessingml/2006/main">
        <w:ind w:left="220" w:hanging="214"/>
        <w:spacing w:after="0" w:line="21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De waarde van de onderliggende en handelsvaluta's kan worden beïnvloed door complexe</w:t>
      </w:r>
    </w:p>
    <w:p>
      <w:pPr>
        <w:spacing w:after="0" w:line="78" w:lineRule="exact"/>
        <w:rPr>
          <w:sz w:val="20"/>
          <w:szCs w:val="20"/>
          <w:color w:val="auto"/>
        </w:rPr>
      </w:pPr>
    </w:p>
    <w:p>
      <w:pPr xmlns:w="http://schemas.openxmlformats.org/wordprocessingml/2006/main">
        <w:jc w:val="center"/>
        <w:ind w:right="140"/>
        <w:spacing w:after="0" w:line="216"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politieke en economische factoren.</w:t>
      </w:r>
      <w:r>
        <w:rPr xmlns:w="http://schemas.openxmlformats.org/wordprocessingml/2006/main">
          <w:rFonts w:ascii="Calibri" w:cs="Calibri" w:eastAsia="Calibri" w:hAnsi="Calibri"/>
          <w:sz w:val="22"/>
          <w:szCs w:val="22"/>
          <w:b w:val="1"/>
          <w:bCs w:val="1"/>
          <w:color w:val="auto"/>
        </w:rPr>
        <w:t xml:space="preserve"> Bovendien zullen contante betalingen zich vestigen in Amerikaanse dollars, en dus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r>
        <w:rPr xmlns:w="http://schemas.openxmlformats.org/wordprocessingml/2006/main">
          <w:rFonts w:ascii="Calibri" w:cs="Calibri" w:eastAsia="Calibri" w:hAnsi="Calibri"/>
          <w:sz w:val="22"/>
          <w:szCs w:val="22"/>
          <w:b w:val="1"/>
          <w:bCs w:val="1"/>
          <w:color w:val="auto"/>
        </w:rPr>
        <w:t xml:space="preserve"> 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w:t>
      </w:r>
    </w:p>
    <w:p>
      <w:pPr>
        <w:spacing w:after="0" w:line="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kan van invloed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13970</wp:posOffset>
            </wp:positionV>
            <wp:extent cx="6545580" cy="234251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545580" cy="234251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13970</wp:posOffset>
            </wp:positionV>
            <wp:extent cx="6545580" cy="234251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545580" cy="2342515"/>
                    </a:xfrm>
                    <a:prstGeom prst="rect">
                      <a:avLst/>
                    </a:prstGeom>
                    <a:noFill/>
                  </pic:spPr>
                </pic:pic>
              </a:graphicData>
            </a:graphic>
          </wp:anchor>
        </w:drawing>
      </w:r>
    </w:p>
    <w:p>
      <w:pPr>
        <w:sectPr>
          <w:pgSz w:w="12240" w:h="15840" w:orient="portrait"/>
          <w:cols w:equalWidth="0" w:num="1">
            <w:col w:w="10320"/>
          </w:cols>
          <w:pgMar w:left="940" w:top="706" w:right="980" w:bottom="423" w:gutter="0" w:footer="0" w:header="0"/>
        </w:sectPr>
      </w:pPr>
    </w:p>
    <w:p>
      <w:pPr>
        <w:spacing w:after="0" w:line="167" w:lineRule="exact"/>
        <w:rPr>
          <w:sz w:val="20"/>
          <w:szCs w:val="20"/>
          <w:color w:val="auto"/>
        </w:rPr>
      </w:pPr>
    </w:p>
    <w:tbl>
      <w:tblPr>
        <w:tblLayout w:type="fixed"/>
        <w:tblInd w:w="400" w:type="dxa"/>
        <w:tblCellMar>
          <w:top w:w="0" w:type="dxa"/>
          <w:left w:w="0" w:type="dxa"/>
          <w:bottom w:w="0" w:type="dxa"/>
          <w:right w:w="0" w:type="dxa"/>
        </w:tblCellMar>
      </w:tblPr>
      <w:tr>
        <w:trPr>
          <w:trHeight w:val="195"/>
        </w:trPr>
        <w:tc>
          <w:tcPr>
            <w:tcW w:w="180" w:type="dxa"/>
            <w:vAlign w:val="bottom"/>
          </w:tcPr>
          <w:p>
            <w:pPr>
              <w:spacing w:after="0"/>
              <w:rPr>
                <w:sz w:val="16"/>
                <w:szCs w:val="16"/>
                <w:color w:val="auto"/>
              </w:rPr>
            </w:pPr>
          </w:p>
        </w:tc>
        <w:tc>
          <w:tcPr>
            <w:tcW w:w="4840" w:type="dxa"/>
            <w:vAlign w:val="bottom"/>
            <w:gridSpan w:val="6"/>
          </w:tcPr>
          <w:p>
            <w:pPr xmlns:w="http://schemas.openxmlformats.org/wordprocessingml/2006/main">
              <w:jc w:val="right"/>
              <w:ind w:right="210"/>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houden van een FX-oproep (Premium $ 400 *; uitoefenprijs 1,30)</w:t>
            </w:r>
          </w:p>
        </w:tc>
        <w:tc>
          <w:tcPr>
            <w:tcW w:w="56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0"/>
        </w:trPr>
        <w:tc>
          <w:tcPr>
            <w:tcW w:w="180" w:type="dxa"/>
            <w:vAlign w:val="bottom"/>
          </w:tcPr>
          <w:p>
            <w:pPr>
              <w:spacing w:after="0"/>
              <w:rPr>
                <w:sz w:val="24"/>
                <w:szCs w:val="24"/>
                <w:color w:val="auto"/>
              </w:rPr>
            </w:pPr>
          </w:p>
        </w:tc>
        <w:tc>
          <w:tcPr>
            <w:tcW w:w="102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$ 400</w:t>
            </w: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7"/>
        </w:trPr>
        <w:tc>
          <w:tcPr>
            <w:tcW w:w="180" w:type="dxa"/>
            <w:vAlign w:val="bottom"/>
          </w:tcPr>
          <w:p>
            <w:pPr>
              <w:spacing w:after="0"/>
              <w:rPr>
                <w:sz w:val="24"/>
                <w:szCs w:val="24"/>
                <w:color w:val="auto"/>
              </w:rPr>
            </w:pPr>
          </w:p>
        </w:tc>
        <w:tc>
          <w:tcPr>
            <w:tcW w:w="102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$ 200</w:t>
            </w: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7"/>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c>
          <w:tcPr>
            <w:tcW w:w="102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180" w:type="dxa"/>
            <w:vAlign w:val="bottom"/>
            <w:vMerge w:val="continue"/>
          </w:tcPr>
          <w:p>
            <w:pPr>
              <w:spacing w:after="0"/>
              <w:rPr>
                <w:sz w:val="19"/>
                <w:szCs w:val="19"/>
                <w:color w:val="auto"/>
              </w:rPr>
            </w:pPr>
          </w:p>
        </w:tc>
        <w:tc>
          <w:tcPr>
            <w:tcW w:w="1020" w:type="dxa"/>
            <w:vAlign w:val="bottom"/>
            <w:vMerge w:val="restart"/>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-$ 200</w:t>
            </w: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8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7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94"/>
        </w:trPr>
        <w:tc>
          <w:tcPr>
            <w:tcW w:w="180" w:type="dxa"/>
            <w:vAlign w:val="bottom"/>
          </w:tcPr>
          <w:p>
            <w:pPr>
              <w:spacing w:after="0"/>
              <w:rPr>
                <w:sz w:val="8"/>
                <w:szCs w:val="8"/>
                <w:color w:val="auto"/>
              </w:rPr>
            </w:pPr>
          </w:p>
        </w:tc>
        <w:tc>
          <w:tcPr>
            <w:tcW w:w="1020" w:type="dxa"/>
            <w:vAlign w:val="bottom"/>
            <w:vMerge w:val="continue"/>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780" w:type="dxa"/>
            <w:vAlign w:val="bottom"/>
          </w:tcPr>
          <w:p>
            <w:pPr>
              <w:spacing w:after="0"/>
              <w:rPr>
                <w:sz w:val="8"/>
                <w:szCs w:val="8"/>
                <w:color w:val="auto"/>
              </w:rPr>
            </w:pPr>
          </w:p>
        </w:tc>
        <w:tc>
          <w:tcPr>
            <w:tcW w:w="760" w:type="dxa"/>
            <w:vAlign w:val="bottom"/>
          </w:tcPr>
          <w:p>
            <w:pPr>
              <w:spacing w:after="0"/>
              <w:rPr>
                <w:sz w:val="8"/>
                <w:szCs w:val="8"/>
                <w:color w:val="auto"/>
              </w:rPr>
            </w:pPr>
          </w:p>
        </w:tc>
        <w:tc>
          <w:tcPr>
            <w:tcW w:w="760" w:type="dxa"/>
            <w:vAlign w:val="bottom"/>
          </w:tcPr>
          <w:p>
            <w:pPr>
              <w:spacing w:after="0"/>
              <w:rPr>
                <w:sz w:val="8"/>
                <w:szCs w:val="8"/>
                <w:color w:val="auto"/>
              </w:rPr>
            </w:pPr>
          </w:p>
        </w:tc>
        <w:tc>
          <w:tcPr>
            <w:tcW w:w="56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317"/>
        </w:trPr>
        <w:tc>
          <w:tcPr>
            <w:tcW w:w="180" w:type="dxa"/>
            <w:vAlign w:val="bottom"/>
          </w:tcPr>
          <w:p>
            <w:pPr>
              <w:spacing w:after="0"/>
              <w:rPr>
                <w:sz w:val="24"/>
                <w:szCs w:val="24"/>
                <w:color w:val="auto"/>
              </w:rPr>
            </w:pPr>
          </w:p>
        </w:tc>
        <w:tc>
          <w:tcPr>
            <w:tcW w:w="102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-$ 400</w:t>
            </w: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7"/>
        </w:trPr>
        <w:tc>
          <w:tcPr>
            <w:tcW w:w="180" w:type="dxa"/>
            <w:vAlign w:val="bottom"/>
          </w:tcPr>
          <w:p>
            <w:pPr>
              <w:spacing w:after="0"/>
              <w:rPr>
                <w:sz w:val="24"/>
                <w:szCs w:val="24"/>
                <w:color w:val="auto"/>
              </w:rPr>
            </w:pPr>
          </w:p>
        </w:tc>
        <w:tc>
          <w:tcPr>
            <w:tcW w:w="1020" w:type="dxa"/>
            <w:vAlign w:val="bottom"/>
          </w:tcPr>
          <w:p>
            <w:pPr xmlns:w="http://schemas.openxmlformats.org/wordprocessingml/2006/main">
              <w:jc w:val="right"/>
              <w:ind w:right="471"/>
              <w:spacing w:after="0"/>
              <w:rPr>
                <w:sz w:val="20"/>
                <w:szCs w:val="20"/>
                <w:color w:val="auto"/>
              </w:rPr>
            </w:pPr>
            <w:r>
              <w:rPr xmlns:w="http://schemas.openxmlformats.org/wordprocessingml/2006/main">
                <w:rFonts w:ascii="Calibri" w:cs="Calibri" w:eastAsia="Calibri" w:hAnsi="Calibri"/>
                <w:sz w:val="18"/>
                <w:szCs w:val="18"/>
                <w:color w:val="595959"/>
              </w:rPr>
              <w:t xml:space="preserve">-$ 600</w:t>
            </w: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3"/>
        </w:trPr>
        <w:tc>
          <w:tcPr>
            <w:tcW w:w="180" w:type="dxa"/>
            <w:vAlign w:val="bottom"/>
          </w:tcPr>
          <w:p>
            <w:pPr>
              <w:spacing w:after="0"/>
              <w:rPr>
                <w:sz w:val="20"/>
                <w:szCs w:val="20"/>
                <w:color w:val="auto"/>
              </w:rPr>
            </w:pPr>
          </w:p>
        </w:tc>
        <w:tc>
          <w:tcPr>
            <w:tcW w:w="1020" w:type="dxa"/>
            <w:vAlign w:val="bottom"/>
          </w:tcPr>
          <w:p>
            <w:pPr xmlns:w="http://schemas.openxmlformats.org/wordprocessingml/2006/main">
              <w:jc w:val="right"/>
              <w:ind w:right="131"/>
              <w:spacing w:after="0"/>
              <w:rPr>
                <w:sz w:val="20"/>
                <w:szCs w:val="20"/>
                <w:color w:val="auto"/>
              </w:rPr>
            </w:pPr>
            <w:r>
              <w:rPr xmlns:w="http://schemas.openxmlformats.org/wordprocessingml/2006/main">
                <w:rFonts w:ascii="Calibri" w:cs="Calibri" w:eastAsia="Calibri" w:hAnsi="Calibri"/>
                <w:sz w:val="18"/>
                <w:szCs w:val="18"/>
                <w:color w:val="595959"/>
              </w:rPr>
              <w:t xml:space="preserve">1,26</w:t>
            </w:r>
          </w:p>
        </w:tc>
        <w:tc>
          <w:tcPr>
            <w:tcW w:w="76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1,28</w:t>
            </w:r>
          </w:p>
        </w:tc>
        <w:tc>
          <w:tcPr>
            <w:tcW w:w="760" w:type="dxa"/>
            <w:vAlign w:val="bottom"/>
          </w:tcPr>
          <w:p>
            <w:pPr xmlns:w="http://schemas.openxmlformats.org/wordprocessingml/2006/main">
              <w:jc w:val="right"/>
              <w:ind w:right="135"/>
              <w:spacing w:after="0"/>
              <w:rPr>
                <w:sz w:val="20"/>
                <w:szCs w:val="20"/>
                <w:color w:val="auto"/>
              </w:rPr>
            </w:pPr>
            <w:r>
              <w:rPr xmlns:w="http://schemas.openxmlformats.org/wordprocessingml/2006/main">
                <w:rFonts w:ascii="Calibri" w:cs="Calibri" w:eastAsia="Calibri" w:hAnsi="Calibri"/>
                <w:sz w:val="18"/>
                <w:szCs w:val="18"/>
                <w:color w:val="595959"/>
              </w:rPr>
              <w:t xml:space="preserve">1,30</w:t>
            </w:r>
          </w:p>
        </w:tc>
        <w:tc>
          <w:tcPr>
            <w:tcW w:w="780" w:type="dxa"/>
            <w:vAlign w:val="bottom"/>
          </w:tcPr>
          <w:p>
            <w:pPr xmlns:w="http://schemas.openxmlformats.org/wordprocessingml/2006/main">
              <w:jc w:val="right"/>
              <w:ind w:right="150"/>
              <w:spacing w:after="0"/>
              <w:rPr>
                <w:sz w:val="20"/>
                <w:szCs w:val="20"/>
                <w:color w:val="auto"/>
              </w:rPr>
            </w:pPr>
            <w:r>
              <w:rPr xmlns:w="http://schemas.openxmlformats.org/wordprocessingml/2006/main">
                <w:rFonts w:ascii="Calibri" w:cs="Calibri" w:eastAsia="Calibri" w:hAnsi="Calibri"/>
                <w:sz w:val="18"/>
                <w:szCs w:val="18"/>
                <w:color w:val="595959"/>
              </w:rPr>
              <w:t xml:space="preserve">1,32</w:t>
            </w:r>
          </w:p>
        </w:tc>
        <w:tc>
          <w:tcPr>
            <w:tcW w:w="76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1,34</w:t>
            </w:r>
          </w:p>
        </w:tc>
        <w:tc>
          <w:tcPr>
            <w:tcW w:w="76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rPr>
              <w:t xml:space="preserve">1,36</w:t>
            </w:r>
          </w:p>
        </w:tc>
        <w:tc>
          <w:tcPr>
            <w:tcW w:w="56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1,38</w:t>
            </w:r>
          </w:p>
        </w:tc>
        <w:tc>
          <w:tcPr>
            <w:tcW w:w="0" w:type="dxa"/>
            <w:vAlign w:val="bottom"/>
          </w:tcPr>
          <w:p>
            <w:pPr>
              <w:spacing w:after="0"/>
              <w:rPr>
                <w:sz w:val="1"/>
                <w:szCs w:val="1"/>
                <w:color w:val="auto"/>
              </w:rPr>
            </w:pPr>
          </w:p>
        </w:tc>
      </w:tr>
      <w:tr>
        <w:trPr>
          <w:trHeight w:val="258"/>
        </w:trPr>
        <w:tc>
          <w:tcPr>
            <w:tcW w:w="180" w:type="dxa"/>
            <w:vAlign w:val="bottom"/>
          </w:tcPr>
          <w:p>
            <w:pPr>
              <w:spacing w:after="0"/>
              <w:rPr>
                <w:sz w:val="22"/>
                <w:szCs w:val="22"/>
                <w:color w:val="auto"/>
              </w:rPr>
            </w:pPr>
          </w:p>
        </w:tc>
        <w:tc>
          <w:tcPr>
            <w:tcW w:w="1020" w:type="dxa"/>
            <w:vAlign w:val="bottom"/>
          </w:tcPr>
          <w:p>
            <w:pPr>
              <w:spacing w:after="0"/>
              <w:rPr>
                <w:sz w:val="22"/>
                <w:szCs w:val="22"/>
                <w:color w:val="auto"/>
              </w:rPr>
            </w:pPr>
          </w:p>
        </w:tc>
        <w:tc>
          <w:tcPr>
            <w:tcW w:w="760" w:type="dxa"/>
            <w:vAlign w:val="bottom"/>
          </w:tcPr>
          <w:p>
            <w:pPr>
              <w:spacing w:after="0"/>
              <w:rPr>
                <w:sz w:val="22"/>
                <w:szCs w:val="22"/>
                <w:color w:val="auto"/>
              </w:rPr>
            </w:pPr>
          </w:p>
        </w:tc>
        <w:tc>
          <w:tcPr>
            <w:tcW w:w="2300" w:type="dxa"/>
            <w:vAlign w:val="bottom"/>
            <w:gridSpan w:val="3"/>
          </w:tcPr>
          <w:p>
            <w:pPr xmlns:w="http://schemas.openxmlformats.org/wordprocessingml/2006/main">
              <w:jc w:val="center"/>
              <w:spacing w:after="0"/>
              <w:rPr>
                <w:sz w:val="20"/>
                <w:szCs w:val="20"/>
                <w:color w:val="auto"/>
              </w:rPr>
            </w:pPr>
            <w:r>
              <w:rPr xmlns:w="http://schemas.openxmlformats.org/wordprocessingml/2006/main">
                <w:rFonts w:ascii="Calibri" w:cs="Calibri" w:eastAsia="Calibri" w:hAnsi="Calibri"/>
                <w:sz w:val="16"/>
                <w:szCs w:val="16"/>
                <w:color w:val="595959"/>
              </w:rPr>
              <w:t xml:space="preserve">EUR/USD (Onderliggend)</w:t>
            </w:r>
          </w:p>
        </w:tc>
        <w:tc>
          <w:tcPr>
            <w:tcW w:w="760" w:type="dxa"/>
            <w:vAlign w:val="bottom"/>
          </w:tcPr>
          <w:p>
            <w:pPr>
              <w:spacing w:after="0"/>
              <w:rPr>
                <w:sz w:val="22"/>
                <w:szCs w:val="22"/>
                <w:color w:val="auto"/>
              </w:rPr>
            </w:pPr>
          </w:p>
        </w:tc>
        <w:tc>
          <w:tcPr>
            <w:tcW w:w="560" w:type="dxa"/>
            <w:vAlign w:val="bottom"/>
          </w:tcPr>
          <w:p>
            <w:pPr>
              <w:spacing w:after="0"/>
              <w:rPr>
                <w:sz w:val="22"/>
                <w:szCs w:val="22"/>
                <w:color w:val="auto"/>
              </w:rPr>
            </w:pPr>
          </w:p>
        </w:tc>
        <w:tc>
          <w:tcPr>
            <w:tcW w:w="0" w:type="dxa"/>
            <w:vAlign w:val="bottom"/>
          </w:tcPr>
          <w:p>
            <w:pPr>
              <w:spacing w:after="0"/>
              <w:rPr>
                <w:sz w:val="1"/>
                <w:szCs w:val="1"/>
                <w:color w:val="auto"/>
              </w:rPr>
            </w:pPr>
          </w:p>
        </w:tc>
      </w:tr>
    </w:tbl>
    <w:p>
      <w:pPr>
        <w:spacing w:after="0" w:line="275"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6"/>
          <w:szCs w:val="16"/>
          <w:color w:val="auto"/>
        </w:rPr>
        <w:t xml:space="preserve">*Zoals afgebeeld, nemen Premium en P / L een contractgrootte van 10.000 aan</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Gestresste onderliggende marktbeweging (</w:t>
      </w:r>
      <w:r>
        <w:rPr xmlns:w="http://schemas.openxmlformats.org/wordprocessingml/2006/main">
          <w:rFonts w:ascii="Calibri" w:cs="Calibri" w:eastAsia="Calibri" w:hAnsi="Calibri"/>
          <w:sz w:val="14"/>
          <w:szCs w:val="14"/>
          <w:u w:val="single" w:color="auto"/>
          <w:color w:val="FF0000"/>
        </w:rPr>
        <w:t xml:space="preserve">rood plotpunt</w:t>
      </w:r>
      <w:r>
        <w:rPr xmlns:w="http://schemas.openxmlformats.org/wordprocessingml/2006/main">
          <w:rFonts w:ascii="Calibri" w:cs="Calibri" w:eastAsia="Calibri" w:hAnsi="Calibri"/>
          <w:sz w:val="14"/>
          <w:szCs w:val="14"/>
          <w:u w:val="single" w:color="auto"/>
          <w:color w:val="auto"/>
        </w:rPr>
        <w:t xml:space="preserve">)</w:t>
      </w:r>
    </w:p>
    <w:p>
      <w:pPr>
        <w:spacing w:after="0" w:line="12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Marktprijs: $ 1,36 voor Euro</w:t>
      </w:r>
    </w:p>
    <w:p>
      <w:pPr>
        <w:spacing w:after="0" w:line="89" w:lineRule="exact"/>
        <w:rPr>
          <w:sz w:val="20"/>
          <w:szCs w:val="20"/>
          <w:color w:val="auto"/>
        </w:rPr>
      </w:pPr>
    </w:p>
    <w:p>
      <w:pPr xmlns:w="http://schemas.openxmlformats.org/wordprocessingml/2006/main">
        <w:ind w:left="280" w:right="220" w:hanging="140"/>
        <w:spacing w:after="0" w:line="222" w:lineRule="auto"/>
        <w:tabs>
          <w:tab w:leader="none" w:pos="28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Ongunstig voor de schrijver: - $ 200, wat de verplichting vertegenwoordigt om 10.000 euro te leveren voor elk 1,30 US Dollars (wanneer de geldende marktprijs elk 1,36 US Dollars is) plus $ 400 ontvangen premie</w:t>
      </w:r>
    </w:p>
    <w:p>
      <w:pPr>
        <w:spacing w:after="0" w:line="145" w:lineRule="exact"/>
        <w:rPr>
          <w:rFonts w:ascii="Symbol" w:cs="Symbol" w:eastAsia="Symbol" w:hAnsi="Symbol"/>
          <w:sz w:val="14"/>
          <w:szCs w:val="14"/>
          <w:color w:val="auto"/>
        </w:rPr>
      </w:pPr>
    </w:p>
    <w:p>
      <w:pPr xmlns:w="http://schemas.openxmlformats.org/wordprocessingml/2006/main">
        <w:ind w:left="280" w:right="160" w:hanging="140"/>
        <w:spacing w:after="0" w:line="223" w:lineRule="auto"/>
        <w:tabs>
          <w:tab w:leader="none" w:pos="28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Gunstig voor de houder: + $ 200, wat het recht vertegenwoordigt om 10.000 euro te ontvangen voor elk 1,30 US Dollars (wanneer de geldende marktprijs elk 1,36 US Dollars is) minus $ 400 premium betaling</w:t>
      </w:r>
    </w:p>
    <w:p>
      <w:pPr>
        <w:spacing w:after="0" w:line="9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Matige onderliggende marktbeweging (</w:t>
      </w:r>
      <w:r>
        <w:rPr xmlns:w="http://schemas.openxmlformats.org/wordprocessingml/2006/main">
          <w:rFonts w:ascii="Calibri" w:cs="Calibri" w:eastAsia="Calibri" w:hAnsi="Calibri"/>
          <w:sz w:val="14"/>
          <w:szCs w:val="14"/>
          <w:u w:val="single" w:color="auto"/>
          <w:color w:val="00B050"/>
        </w:rPr>
        <w:t xml:space="preserve">groen plotpunt</w:t>
      </w:r>
      <w:r>
        <w:rPr xmlns:w="http://schemas.openxmlformats.org/wordprocessingml/2006/main">
          <w:rFonts w:ascii="Calibri" w:cs="Calibri" w:eastAsia="Calibri" w:hAnsi="Calibri"/>
          <w:sz w:val="14"/>
          <w:szCs w:val="14"/>
          <w:u w:val="single" w:color="auto"/>
          <w:color w:val="auto"/>
        </w:rPr>
        <w:t xml:space="preserve">)</w:t>
      </w:r>
    </w:p>
    <w:p>
      <w:pPr>
        <w:spacing w:after="0" w:line="12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Marktprijs: $ 1,29 voor Euro</w:t>
      </w:r>
    </w:p>
    <w:p>
      <w:pPr>
        <w:spacing w:after="0" w:line="38" w:lineRule="exact"/>
        <w:rPr>
          <w:sz w:val="20"/>
          <w:szCs w:val="20"/>
          <w:color w:val="auto"/>
        </w:rPr>
      </w:pPr>
    </w:p>
    <w:p>
      <w:pPr xmlns:w="http://schemas.openxmlformats.org/wordprocessingml/2006/main">
        <w:ind w:left="280" w:hanging="140"/>
        <w:spacing w:after="0"/>
        <w:tabs>
          <w:tab w:leader="none" w:pos="28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Gunstig voor schrijver: + $ 400 ontvangst van premie</w:t>
      </w:r>
    </w:p>
    <w:p>
      <w:pPr>
        <w:spacing w:after="0" w:line="39" w:lineRule="exact"/>
        <w:rPr>
          <w:rFonts w:ascii="Symbol" w:cs="Symbol" w:eastAsia="Symbol" w:hAnsi="Symbol"/>
          <w:sz w:val="14"/>
          <w:szCs w:val="14"/>
          <w:color w:val="auto"/>
        </w:rPr>
      </w:pPr>
    </w:p>
    <w:p>
      <w:pPr xmlns:w="http://schemas.openxmlformats.org/wordprocessingml/2006/main">
        <w:ind w:left="280" w:hanging="140"/>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4"/>
          <w:szCs w:val="14"/>
          <w:color w:val="auto"/>
        </w:rPr>
        <w:t xml:space="preserve">Ongunstig voor de houder: - $ 400 premiebetaling</w:t>
      </w:r>
    </w:p>
    <w:p>
      <w:pPr>
        <w:spacing w:after="0" w:line="163" w:lineRule="exact"/>
        <w:rPr>
          <w:sz w:val="20"/>
          <w:szCs w:val="20"/>
          <w:color w:val="auto"/>
        </w:rPr>
      </w:pPr>
    </w:p>
    <w:p>
      <w:pPr xmlns:w="http://schemas.openxmlformats.org/wordprocessingml/2006/main">
        <w:ind w:right="140"/>
        <w:spacing w:after="0" w:line="221" w:lineRule="auto"/>
        <w:rPr>
          <w:sz w:val="20"/>
          <w:szCs w:val="20"/>
          <w:color w:val="auto"/>
        </w:rPr>
      </w:pPr>
      <w:r>
        <w:rPr xmlns:w="http://schemas.openxmlformats.org/wordprocessingml/2006/main">
          <w:rFonts w:ascii="Calibri" w:cs="Calibri" w:eastAsia="Calibri" w:hAnsi="Calibri"/>
          <w:sz w:val="14"/>
          <w:szCs w:val="14"/>
          <w:u w:val="single" w:color="auto"/>
          <w:color w:val="auto"/>
        </w:rPr>
        <w:t xml:space="preserve">Break Even Point treedt op wanneer de geldende marktprijs van de onderliggende waarde hoger is dan de uitoefenprijs, zodat P / L nul is voor zowel schrijver als houder.</w:t>
      </w:r>
    </w:p>
    <w:p>
      <w:pPr>
        <w:spacing w:after="0" w:line="106" w:lineRule="exact"/>
        <w:rPr>
          <w:sz w:val="20"/>
          <w:szCs w:val="20"/>
          <w:color w:val="auto"/>
        </w:rPr>
      </w:pPr>
    </w:p>
    <w:p>
      <w:pPr>
        <w:sectPr>
          <w:pgSz w:w="12240" w:h="15840" w:orient="portrait"/>
          <w:cols w:equalWidth="0" w:num="2">
            <w:col w:w="5960" w:space="460"/>
            <w:col w:w="3900"/>
          </w:cols>
          <w:pgMar w:left="940" w:top="706" w:right="980" w:bottom="423" w:gutter="0" w:footer="0" w:header="0"/>
          <w:type w:val="continuous"/>
        </w:sect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ontvangt, varieert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68972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1.4pt,1.6pt" o:allowincell="f" strokecolor="#000000" strokeweight="0.4799pt"/>
            </w:pict>
          </mc:Fallback>
        </mc:AlternateContent>
      </w:r>
    </w:p>
    <w:p>
      <w:pPr>
        <w:sectPr>
          <w:pgSz w:w="12240" w:h="15840" w:orient="portrait"/>
          <w:cols w:equalWidth="0" w:num="1">
            <w:col w:w="10320"/>
          </w:cols>
          <w:pgMar w:left="940" w:top="706" w:right="980" w:bottom="423" w:gutter="0" w:footer="0" w:header="0"/>
          <w:type w:val="continuous"/>
        </w:sectPr>
      </w:pPr>
    </w:p>
    <w:bookmarkStart w:id="2" w:name="page3"/>
    <w:bookmarkEnd w:id="2"/>
    <w:p>
      <w:pPr xmlns:w="http://schemas.openxmlformats.org/wordprocessingml/2006/main">
        <w:ind w:left="220" w:right="50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036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4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69036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68.4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6618605</wp:posOffset>
                </wp:positionV>
                <wp:extent cx="669036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21.15pt" to="568.4pt,52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8159115</wp:posOffset>
                </wp:positionV>
                <wp:extent cx="669036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42.45pt" to="568.4pt,642.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8525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457200</wp:posOffset>
                </wp:positionV>
                <wp:extent cx="0" cy="898525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6pt" to="568.2pt,74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de kosten die u betaalt aan uw adviseur of distributeur en houden geen rekening met uw persoonlijke belastingsituatie, wat ook van invloed kan zijn op hoeveel u ontvangt.</w:t>
      </w:r>
    </w:p>
    <w:p>
      <w:pPr>
        <w:spacing w:after="0" w:line="77" w:lineRule="exact"/>
        <w:rPr>
          <w:sz w:val="20"/>
          <w:szCs w:val="20"/>
          <w:color w:val="auto"/>
        </w:rPr>
      </w:pPr>
    </w:p>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w:t>
      </w:r>
      <w:r>
        <w:rPr xmlns:w="http://schemas.openxmlformats.org/wordprocessingml/2006/main">
          <w:rFonts w:ascii="Calibri" w:cs="Calibri" w:eastAsia="Calibri" w:hAnsi="Calibri"/>
          <w:sz w:val="22"/>
          <w:szCs w:val="22"/>
          <w:color w:val="auto"/>
        </w:rPr>
        <w:t xml:space="preserve"> u </w:t>
      </w:r>
      <w:r>
        <w:rPr xmlns:w="http://schemas.openxmlformats.org/wordprocessingml/2006/main">
          <w:rFonts w:ascii="Calibri" w:cs="Calibri" w:eastAsia="Calibri" w:hAnsi="Calibri"/>
          <w:sz w:val="22"/>
          <w:szCs w:val="22"/>
          <w:u w:val="single" w:color="auto"/>
          <w:color w:val="auto"/>
        </w:rPr>
        <w:t xml:space="preserve">verschuldigd bent</w:t>
      </w:r>
      <w:r>
        <w:rPr xmlns:w="http://schemas.openxmlformats.org/wordprocessingml/2006/main">
          <w:rFonts w:ascii="Calibri" w:cs="Calibri" w:eastAsia="Calibri" w:hAnsi="Calibri"/>
          <w:sz w:val="22"/>
          <w:szCs w:val="22"/>
          <w:color w:val="auto"/>
        </w:rPr>
        <w:t xml:space="preserve">.</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voorzien van informatie over</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Deze kosten en hoe ze uw investering beïnvloeden.</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Geaggregeerde kosten voor gestandaardiseerde FX-opties zijn afhankelijk</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op meerdere factoren.</w:t>
            </w:r>
            <w:r>
              <w:rPr xmlns:w="http://schemas.openxmlformats.org/wordprocessingml/2006/main">
                <w:rFonts w:ascii="Calibri" w:cs="Calibri" w:eastAsia="Calibri" w:hAnsi="Calibri"/>
                <w:sz w:val="22"/>
                <w:szCs w:val="22"/>
                <w:color w:val="auto"/>
              </w:rPr>
              <w:t xml:space="preserve"> Een optiepremie is de kostprijs</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betaald door de houder aan de schrijver.</w:t>
            </w:r>
            <w:r>
              <w:rPr xmlns:w="http://schemas.openxmlformats.org/wordprocessingml/2006/main">
                <w:rFonts w:ascii="Calibri" w:cs="Calibri" w:eastAsia="Calibri" w:hAnsi="Calibri"/>
                <w:sz w:val="22"/>
                <w:szCs w:val="22"/>
                <w:color w:val="auto"/>
              </w:rPr>
              <w:t xml:space="preserve"> Factoren die een</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2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Belangrijke effecten op de premie zijn onder meer, maar niet</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8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beperkt tot, de relatieve waarden van de onderliggende en</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handelsvaluta's, tijd tot het verstrijken van de optie,</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en uitoefenprijs.</w:t>
            </w:r>
            <w:r>
              <w:rPr xmlns:w="http://schemas.openxmlformats.org/wordprocessingml/2006/main">
                <w:rFonts w:ascii="Calibri" w:cs="Calibri" w:eastAsia="Calibri" w:hAnsi="Calibri"/>
                <w:sz w:val="22"/>
                <w:szCs w:val="22"/>
                <w:color w:val="auto"/>
              </w:rPr>
              <w:t xml:space="preserve"> Opties beleggen omvat</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2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extra kosten die fiscale overwegingen omvatten,</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transactiekosten en margevereisten die</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aanzienlijk van invloed zijn op de winst of het verlies.</w:t>
            </w:r>
            <w:r>
              <w:rPr xmlns:w="http://schemas.openxmlformats.org/wordprocessingml/2006/main">
                <w:rFonts w:ascii="Calibri" w:cs="Calibri" w:eastAsia="Calibri" w:hAnsi="Calibri"/>
                <w:sz w:val="22"/>
                <w:szCs w:val="22"/>
                <w:color w:val="auto"/>
              </w:rPr>
              <w:t xml:space="preserve"> Transactiekosten</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Het bestaat voornamelijk uit commissies (die worden opgelegd)</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bij opening, sluiting, uitoefening en toewijzing</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2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transacties), maar kan ook marge en</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rentekosten.</w:t>
            </w:r>
            <w:r>
              <w:rPr xmlns:w="http://schemas.openxmlformats.org/wordprocessingml/2006/main">
                <w:rFonts w:ascii="Calibri" w:cs="Calibri" w:eastAsia="Calibri" w:hAnsi="Calibri"/>
                <w:sz w:val="22"/>
                <w:szCs w:val="22"/>
                <w:color w:val="auto"/>
              </w:rPr>
              <w:t xml:space="preserve"> Marge: de activa die nodig zijn om</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gedeponeerd door een schrijver bij zijn makelaarskantoor als</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zekerheden voor de verplichting, naar gelang van het geval, om te kopen of</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de onderliggende rente te verkopen of de afwikkeling in contanten te betalen</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bedrag.</w:t>
            </w:r>
            <w:r>
              <w:rPr xmlns:w="http://schemas.openxmlformats.org/wordprocessingml/2006/main">
                <w:rFonts w:ascii="Calibri" w:cs="Calibri" w:eastAsia="Calibri" w:hAnsi="Calibri"/>
                <w:sz w:val="22"/>
                <w:szCs w:val="22"/>
                <w:color w:val="auto"/>
              </w:rPr>
              <w:t xml:space="preserve"> Als een optie wordt uitgeoefend en toegewezen, wordt een</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2" w:lineRule="exact"/>
        <w:rPr>
          <w:sz w:val="20"/>
          <w:szCs w:val="20"/>
          <w:color w:val="auto"/>
        </w:rPr>
      </w:pPr>
    </w:p>
    <w:p>
      <w:pPr xmlns:w="http://schemas.openxmlformats.org/wordprocessingml/2006/main">
        <w:jc w:val="both"/>
        <w:ind w:left="220"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De schrijver kan extra kosten maken.</w:t>
      </w:r>
      <w:r>
        <w:rPr xmlns:w="http://schemas.openxmlformats.org/wordprocessingml/2006/main">
          <w:rFonts w:ascii="Calibri" w:cs="Calibri" w:eastAsia="Calibri" w:hAnsi="Calibri"/>
          <w:sz w:val="22"/>
          <w:szCs w:val="22"/>
          <w:color w:val="auto"/>
        </w:rPr>
        <w:t xml:space="preserve"> 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20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verloopt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hebben beleggers als enige de verantwoordelijkheid om te bepalen of en wanneer zij hun optiecontract(en) moeten uitoefenen en of zij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sz w:val="20"/>
          <w:szCs w:val="20"/>
          <w:color w:val="auto"/>
        </w:rPr>
      </w:pPr>
    </w:p>
    <w:p>
      <w:pPr xmlns:w="http://schemas.openxmlformats.org/wordprocessingml/2006/main">
        <w:ind w:left="220" w:right="4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6" w:lineRule="exact"/>
        <w:rPr>
          <w:sz w:val="20"/>
          <w:szCs w:val="20"/>
          <w:color w:val="auto"/>
        </w:rPr>
      </w:pPr>
    </w:p>
    <w:tbl>
      <w:tblPr>
        <w:tblLayout w:type="fixed"/>
        <w:tblInd w:w="340" w:type="dxa"/>
        <w:tblCellMar>
          <w:top w:w="0" w:type="dxa"/>
          <w:left w:w="0" w:type="dxa"/>
          <w:bottom w:w="0" w:type="dxa"/>
          <w:right w:w="0" w:type="dxa"/>
        </w:tblCellMar>
      </w:tblPr>
      <w:tr>
        <w:trPr>
          <w:trHeight w:val="285"/>
        </w:trPr>
        <w:tc>
          <w:tcPr>
            <w:tcW w:w="46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Amerikaanse Securities and Exchange Commission</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9509 Key West Avenue</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Office of Investor Education and Advocacy</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Telefoon: (240) 386-HELP (4357) Fax: (866) 397-3290</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w w:val="99"/>
              </w:rPr>
              <w:t xml:space="preserve">Washington, DC 20549-0213 Fax: (202) 772-9295</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16510</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3pt" to="532.4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640"/>
      </w:cols>
      <w:pgMar w:left="720" w:top="774" w:right="880" w:bottom="158"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784253D"/>
    <w:multiLevelType w:val="hybridMultilevel"/>
    <w:lvl w:ilvl="0">
      <w:lvlJc w:val="left"/>
      <w:lvlText w:val="·"/>
      <w:numFmt w:val="bullet"/>
      <w:start w:val="1"/>
    </w:lvl>
  </w:abstractNum>
  <w:abstractNum w:abstractNumId="1">
    <w:nsid w:val="73650487"/>
    <w:multiLevelType w:val="hybridMultilevel"/>
    <w:lvl w:ilvl="0">
      <w:lvlJc w:val="left"/>
      <w:lvlText w:val="·"/>
      <w:numFmt w:val="bullet"/>
      <w:start w:val="1"/>
    </w:lvl>
  </w:abstractNum>
  <w:abstractNum w:abstractNumId="2">
    <w:nsid w:val="2B7FD36D"/>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2024-06-24T11:24:38Z</dcterms:created>
  <dcterms:modified xsi:type="dcterms:W3CDTF">2024-06-24T11:24:38Z</dcterms:modified>
</cp:coreProperties>
</file>