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443230</wp:posOffset>
                </wp:positionH>
                <wp:positionV relativeFrom="page">
                  <wp:posOffset>463550</wp:posOffset>
                </wp:positionV>
                <wp:extent cx="70059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059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34.9pt;margin-top:36.5pt;width:551.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490855</wp:posOffset>
                </wp:positionH>
                <wp:positionV relativeFrom="page">
                  <wp:posOffset>463550</wp:posOffset>
                </wp:positionV>
                <wp:extent cx="69113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113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38.65pt;margin-top:36.5pt;width:544.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459740</wp:posOffset>
                </wp:positionV>
                <wp:extent cx="70180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6.2pt" to="587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962660</wp:posOffset>
                </wp:positionV>
                <wp:extent cx="70180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75.8pt" to="587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1837690</wp:posOffset>
                </wp:positionV>
                <wp:extent cx="70180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144.7pt" to="587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3052445</wp:posOffset>
                </wp:positionV>
                <wp:extent cx="70180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40.35pt" to="587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4592955</wp:posOffset>
                </wp:positionV>
                <wp:extent cx="70180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61.65pt" to="587pt,361.6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457200</wp:posOffset>
                </wp:positionV>
                <wp:extent cx="0" cy="876554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6554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36pt" to="34.65pt,72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7452360</wp:posOffset>
                </wp:positionH>
                <wp:positionV relativeFrom="page">
                  <wp:posOffset>457200</wp:posOffset>
                </wp:positionV>
                <wp:extent cx="0" cy="876554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6554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6.8pt,36pt" to="586.8pt,72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Opties voor futures (Short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25400</wp:posOffset>
                </wp:positionV>
                <wp:extent cx="70053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05320" cy="868680"/>
                        </a:xfrm>
                        <a:prstGeom prst="rect">
                          <a:avLst/>
                        </a:prstGeom>
                        <a:solidFill>
                          <a:srgbClr val="9CC2E5"/>
                        </a:solidFill>
                      </wps:spPr>
                      <wps:bodyPr/>
                    </wps:wsp>
                  </a:graphicData>
                </a:graphic>
              </wp:anchor>
            </w:drawing>
          </mc:Choice>
          <mc:Fallback>
            <w:pict>
              <v:rect id="Shape 10" o:spid="_x0000_s1035" style="position:absolute;margin-left:-5.0499pt;margin-top:2pt;width:551.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4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Korte putoptie op futures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opties op futures (a / k / a "futures-opties").</w:t>
      </w:r>
      <w:r>
        <w:rPr xmlns:w="http://schemas.openxmlformats.org/wordprocessingml/2006/main">
          <w:rFonts w:ascii="Calibri" w:cs="Calibri" w:eastAsia="Calibri" w:hAnsi="Calibri"/>
          <w:sz w:val="22"/>
          <w:szCs w:val="22"/>
          <w:color w:val="auto"/>
        </w:rPr>
        <w:t xml:space="preserve"> Futures-opties worden genoteerd en verhandeld op Amerikaanse futures-opties die zijn geregistreerd bij de Amerikaanse Commodity Futures Trading Commission ("CFTC") en worden uitgegeven, gecleard en afgewikkeld door OCC, een CFTC-geregistreerde derivatenclearingorganisatie.</w:t>
      </w:r>
      <w:r>
        <w:rPr xmlns:w="http://schemas.openxmlformats.org/wordprocessingml/2006/main">
          <w:rFonts w:ascii="Calibri" w:cs="Calibri" w:eastAsia="Calibri" w:hAnsi="Calibri"/>
          <w:sz w:val="22"/>
          <w:szCs w:val="22"/>
          <w:color w:val="auto"/>
        </w:rPr>
        <w:t xml:space="preserve"> Voor meer informatie, waaronder de contactgegevens voor de Amerikaanse futures-opties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83" w:lineRule="exact"/>
        <w:rPr>
          <w:sz w:val="24"/>
          <w:szCs w:val="24"/>
          <w:color w:val="auto"/>
        </w:rPr>
      </w:pPr>
    </w:p>
    <w:p>
      <w:pPr xmlns:w="http://schemas.openxmlformats.org/wordprocessingml/2006/main">
        <w:ind w:right="1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futures-opties verhandelen totdat zij dit document en eventuele aanvullende informatie van hun makelaar hebben gelezen en begrepen, waarvan de inhoud de </w:t>
      </w:r>
      <w:r>
        <w:rPr xmlns:w="http://schemas.openxmlformats.org/wordprocessingml/2006/main">
          <w:rFonts w:ascii="Calibri" w:cs="Calibri" w:eastAsia="Calibri" w:hAnsi="Calibri"/>
          <w:sz w:val="22"/>
          <w:szCs w:val="22"/>
          <w:u w:val="single" w:color="auto"/>
          <w:color w:val="auto"/>
        </w:rPr>
        <w:t xml:space="preserve">risicoopenbaarmakingsverklaring</w:t>
      </w:r>
      <w:r>
        <w:rPr xmlns:w="http://schemas.openxmlformats.org/wordprocessingml/2006/main">
          <w:rFonts w:ascii="Calibri" w:cs="Calibri" w:eastAsia="Calibri" w:hAnsi="Calibri"/>
          <w:sz w:val="22"/>
          <w:szCs w:val="22"/>
          <w:color w:val="auto"/>
        </w:rPr>
        <w:t xml:space="preserve"> van de National Futures Association ("NFA")</w:t>
      </w:r>
      <w:r>
        <w:rPr xmlns:w="http://schemas.openxmlformats.org/wordprocessingml/2006/main">
          <w:rFonts w:ascii="Calibri" w:cs="Calibri" w:eastAsia="Calibri" w:hAnsi="Calibri"/>
          <w:sz w:val="22"/>
          <w:szCs w:val="22"/>
          <w:u w:val="single" w:color="auto"/>
          <w:color w:val="auto"/>
        </w:rPr>
        <w:t xml:space="preserve"> voor futures-beveiligingscontracten</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w:t>
      </w:r>
      <w:r>
        <w:rPr xmlns:w="http://schemas.openxmlformats.org/wordprocessingml/2006/main">
          <w:rFonts w:ascii="Calibri" w:cs="Calibri" w:eastAsia="Calibri" w:hAnsi="Calibri"/>
          <w:sz w:val="22"/>
          <w:szCs w:val="22"/>
          <w:color w:val="000000"/>
        </w:rPr>
        <w:t xml:space="preserve">, en de </w:t>
      </w:r>
      <w:r>
        <w:rPr xmlns:w="http://schemas.openxmlformats.org/wordprocessingml/2006/main">
          <w:rFonts w:ascii="Calibri" w:cs="Calibri" w:eastAsia="Calibri" w:hAnsi="Calibri"/>
          <w:sz w:val="22"/>
          <w:szCs w:val="22"/>
          <w:u w:val="single" w:color="auto"/>
          <w:color w:val="000000"/>
        </w:rPr>
        <w:t xml:space="preserve">Uniform Futures and Options on Futures Risk Disclosures</w:t>
      </w:r>
      <w:r>
        <w:rPr xmlns:w="http://schemas.openxmlformats.org/wordprocessingml/2006/main">
          <w:rFonts w:ascii="Calibri" w:cs="Calibri" w:eastAsia="Calibri" w:hAnsi="Calibri"/>
          <w:sz w:val="22"/>
          <w:szCs w:val="22"/>
          <w:color w:val="000000"/>
        </w:rPr>
        <w:t xml:space="preserve"> van de Futures Industry Association</w:t>
      </w:r>
      <w:r>
        <w:rPr xmlns:w="http://schemas.openxmlformats.org/wordprocessingml/2006/main">
          <w:rFonts w:ascii="Calibri" w:cs="Calibri" w:eastAsia="Calibri" w:hAnsi="Calibri"/>
          <w:sz w:val="22"/>
          <w:szCs w:val="22"/>
          <w:color w:val="auto"/>
        </w:rPr>
        <w:t xml:space="preserve"> kan omvatten</w:t>
      </w:r>
      <w:r>
        <w:rPr xmlns:w="http://schemas.openxmlformats.org/wordprocessingml/2006/main">
          <w:rFonts w:ascii="Calibri" w:cs="Calibri" w:eastAsia="Calibri" w:hAnsi="Calibri"/>
          <w:sz w:val="22"/>
          <w:szCs w:val="22"/>
          <w:color w:val="000000"/>
        </w:rPr>
        <w:t xml:space="preserve">,</w:t>
      </w:r>
      <w:r>
        <w:rPr xmlns:w="http://schemas.openxmlformats.org/wordprocessingml/2006/main">
          <w:rFonts w:ascii="Calibri" w:cs="Calibri" w:eastAsia="Calibri" w:hAnsi="Calibri"/>
          <w:sz w:val="22"/>
          <w:szCs w:val="22"/>
          <w:u w:val="single" w:color="auto"/>
          <w:color w:val="0563C1"/>
        </w:rPr>
        <w:t xml:space="preserve"> https://lc.fia.org/uniform-futures-and-options-futures-risk-disclosures</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Informatieverschaffing hierin moet worden geïnterpreteerd op een </w:t>
      </w:r>
      <w:r>
        <w:rPr xmlns:w="http://schemas.openxmlformats.org/wordprocessingml/2006/main">
          <w:rFonts w:ascii="Calibri" w:cs="Calibri" w:eastAsia="Calibri" w:hAnsi="Calibri"/>
          <w:sz w:val="22"/>
          <w:szCs w:val="22"/>
          <w:color w:val="000000"/>
        </w:rPr>
        <w:t xml:space="preserve">manier die in overeenstemming is met deze openbaarmakingen.</w:t>
      </w:r>
      <w:r>
        <w:rPr xmlns:w="http://schemas.openxmlformats.org/wordprocessingml/2006/main">
          <w:rFonts w:ascii="Calibri" w:cs="Calibri" w:eastAsia="Calibri" w:hAnsi="Calibri"/>
          <w:sz w:val="22"/>
          <w:szCs w:val="22"/>
          <w:color w:val="000000"/>
        </w:rPr>
        <w:t xml:space="preserve"> Omdat de onderliggende waarde van een futuresoptie een futurescontract is, moeten beleggers bovendien het relevante essentiële-informatiedocument voor het futurescontract dat aan de futuresoptie ten grondslag ligt, lezen en begrijpen.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24130</wp:posOffset>
                </wp:positionV>
                <wp:extent cx="7005320" cy="461899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05320" cy="4618990"/>
                        </a:xfrm>
                        <a:prstGeom prst="rect">
                          <a:avLst/>
                        </a:prstGeom>
                        <a:solidFill>
                          <a:srgbClr val="BDD6EE"/>
                        </a:solidFill>
                      </wps:spPr>
                      <wps:bodyPr/>
                    </wps:wsp>
                  </a:graphicData>
                </a:graphic>
              </wp:anchor>
            </w:drawing>
          </mc:Choice>
          <mc:Fallback>
            <w:pict>
              <v:rect id="Shape 11" o:spid="_x0000_s1036" style="position:absolute;margin-left:-5.0499pt;margin-top:1.9pt;width:551.6pt;height:363.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64" w:lineRule="exact"/>
        <w:rPr>
          <w:sz w:val="24"/>
          <w:szCs w:val="24"/>
          <w:color w:val="auto"/>
        </w:rPr>
      </w:pPr>
    </w:p>
    <w:p>
      <w:pPr xmlns:w="http://schemas.openxmlformats.org/wordprocessingml/2006/main">
        <w:ind w:right="6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Een futures-optie is het recht om een specifiek futures-contract te kopen of verkopen tegen een vaste prijs (</w:t>
      </w:r>
      <w:r>
        <w:rPr xmlns:w="http://schemas.openxmlformats.org/wordprocessingml/2006/main">
          <w:rFonts w:ascii="Calibri" w:cs="Calibri" w:eastAsia="Calibri" w:hAnsi="Calibri"/>
          <w:sz w:val="22"/>
          <w:szCs w:val="22"/>
          <w:i w:val="1"/>
          <w:iCs w:val="1"/>
          <w:color w:val="auto"/>
        </w:rPr>
        <w:t xml:space="preserve">d.w.z.</w:t>
      </w:r>
      <w:r>
        <w:rPr xmlns:w="http://schemas.openxmlformats.org/wordprocessingml/2006/main">
          <w:rFonts w:ascii="Calibri" w:cs="Calibri" w:eastAsia="Calibri" w:hAnsi="Calibri"/>
          <w:sz w:val="22"/>
          <w:szCs w:val="22"/>
          <w:color w:val="auto"/>
        </w:rPr>
        <w:t xml:space="preserve"> "uitoefenprijs") door de optie uit te oefenen vóór de opgegeven vervaldatum.</w:t>
      </w:r>
      <w:r>
        <w:rPr xmlns:w="http://schemas.openxmlformats.org/wordprocessingml/2006/main">
          <w:rFonts w:ascii="Calibri" w:cs="Calibri" w:eastAsia="Calibri" w:hAnsi="Calibri"/>
          <w:sz w:val="22"/>
          <w:szCs w:val="22"/>
          <w:color w:val="auto"/>
        </w:rPr>
        <w:t xml:space="preserve"> De blootstelling aan het onderliggende futurescontract en aan het onderliggende belang is derhalve indirect, omdat de waarde van de optie wordt afgeleid van de waarde van de onderliggende toekomst.</w:t>
      </w:r>
      <w:r>
        <w:rPr xmlns:w="http://schemas.openxmlformats.org/wordprocessingml/2006/main">
          <w:rFonts w:ascii="Calibri" w:cs="Calibri" w:eastAsia="Calibri" w:hAnsi="Calibri"/>
          <w:sz w:val="22"/>
          <w:szCs w:val="22"/>
          <w:color w:val="auto"/>
        </w:rPr>
        <w:t xml:space="preserve"> Vervaldata voor futures opties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kan de Amerikaanse futures-optiebeurs de optie eenzijdig beëindigen.</w:t>
      </w:r>
      <w:r>
        <w:rPr xmlns:w="http://schemas.openxmlformats.org/wordprocessingml/2006/main">
          <w:rFonts w:ascii="Calibri" w:cs="Calibri" w:eastAsia="Calibri" w:hAnsi="Calibri"/>
          <w:sz w:val="22"/>
          <w:szCs w:val="22"/>
          <w:color w:val="auto"/>
        </w:rPr>
        <w:t xml:space="preserve"> Een bedrijfsevenement waarbij het onderliggende futurescontract of het onderliggende belang van dat futurescontract betrokken is, kan resulteren in een wijziging van de voorwaarden van de optie volgens de regels van OCC, die kunnen verschillen van de methodologie die op Europese markten wordt gebruikt.</w:t>
      </w:r>
    </w:p>
    <w:p>
      <w:pPr>
        <w:spacing w:after="0" w:line="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67" w:lineRule="exact"/>
        <w:rPr>
          <w:sz w:val="24"/>
          <w:szCs w:val="24"/>
          <w:color w:val="auto"/>
        </w:rPr>
      </w:pPr>
    </w:p>
    <w:p>
      <w:pPr xmlns:w="http://schemas.openxmlformats.org/wordprocessingml/2006/main">
        <w:ind w:right="10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volgens de voorwaarden te presteren om het onderliggende futurescontract tegen de uitoefenprijs te kopen of te verkopen.</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Futures-opties worden over het algemeen afgewikkeld door middel van oefening in het onderliggende futurescontract.</w:t>
      </w:r>
      <w:r>
        <w:rPr xmlns:w="http://schemas.openxmlformats.org/wordprocessingml/2006/main">
          <w:rFonts w:ascii="Calibri" w:cs="Calibri" w:eastAsia="Calibri" w:hAnsi="Calibri"/>
          <w:sz w:val="22"/>
          <w:szCs w:val="22"/>
          <w:color w:val="auto"/>
        </w:rPr>
        <w:t xml:space="preserve"> Dit betekent dat de schrijver van een putoptie, bij uitoefening, een lange positie in het onderliggende futurescontract zou verwerven tegen de uitoefenprijs van de optie.</w:t>
      </w:r>
      <w:r>
        <w:rPr xmlns:w="http://schemas.openxmlformats.org/wordprocessingml/2006/main">
          <w:rFonts w:ascii="Calibri" w:cs="Calibri" w:eastAsia="Calibri" w:hAnsi="Calibri"/>
          <w:sz w:val="22"/>
          <w:szCs w:val="22"/>
          <w:color w:val="auto"/>
        </w:rPr>
        <w:t xml:space="preserve"> Sommige futures-opties kunnen in plaats daarvan worden afgewikkeld in contanten, in welk geval de schrijver een contante betaling zou doen als, bij uitoefening, de waarde van de onderliggende toekomst lager is dan de uitoefenprijs.</w:t>
      </w:r>
      <w:r>
        <w:rPr xmlns:w="http://schemas.openxmlformats.org/wordprocessingml/2006/main">
          <w:rFonts w:ascii="Calibri" w:cs="Calibri" w:eastAsia="Calibri" w:hAnsi="Calibri"/>
          <w:sz w:val="22"/>
          <w:szCs w:val="22"/>
          <w:color w:val="auto"/>
        </w:rPr>
        <w:t xml:space="preserve"> Factoren die van invloed zijn op de waarde van een futures-optie zijn onder meer de uitoefenprijs, de tijd tot het verstrijken en de waarde van het onderliggende futurescontract en de gevoeligheid ervan voor prijsschommelingen (volatiliteit).</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67" w:lineRule="exact"/>
        <w:rPr>
          <w:sz w:val="24"/>
          <w:szCs w:val="24"/>
          <w:color w:val="auto"/>
        </w:rPr>
      </w:pPr>
    </w:p>
    <w:p>
      <w:pPr xmlns:w="http://schemas.openxmlformats.org/wordprocessingml/2006/main">
        <w:ind w:right="18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187960</wp:posOffset>
                </wp:positionV>
                <wp:extent cx="70173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173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4.8pt" to="547pt,14.8pt" o:allowincell="f" strokecolor="#000000" strokeweight="0.4799pt"/>
            </w:pict>
          </mc:Fallback>
        </mc:AlternateContent>
      </w:r>
    </w:p>
    <w:p>
      <w:pPr>
        <w:sectPr>
          <w:pgSz w:w="12240" w:h="15840" w:orient="portrait"/>
          <w:cols w:equalWidth="0" w:num="1">
            <w:col w:w="10840"/>
          </w:cols>
          <w:pgMar w:left="800" w:top="699" w:right="600" w:bottom="1052"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459740</wp:posOffset>
                </wp:positionV>
                <wp:extent cx="701802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6.2pt" to="587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457200</wp:posOffset>
                </wp:positionV>
                <wp:extent cx="0" cy="907986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798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36pt" to="34.65pt,750.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7452360</wp:posOffset>
                </wp:positionH>
                <wp:positionV relativeFrom="page">
                  <wp:posOffset>457200</wp:posOffset>
                </wp:positionV>
                <wp:extent cx="0" cy="907986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7986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6.8pt,36pt" to="586.8pt,750.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1089025</wp:posOffset>
            </wp:positionH>
            <wp:positionV relativeFrom="paragraph">
              <wp:posOffset>15875</wp:posOffset>
            </wp:positionV>
            <wp:extent cx="4944110" cy="18091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44110" cy="1809115"/>
                    </a:xfrm>
                    <a:prstGeom prst="rect">
                      <a:avLst/>
                    </a:prstGeom>
                    <a:noFill/>
                  </pic:spPr>
                </pic:pic>
              </a:graphicData>
            </a:graphic>
          </wp:anchor>
        </w:drawing>
        <w:drawing>
          <wp:anchor simplePos="0" relativeHeight="251657728" behindDoc="1" locked="0" layoutInCell="0" allowOverlap="1">
            <wp:simplePos x="0" y="0"/>
            <wp:positionH relativeFrom="column">
              <wp:posOffset>1089025</wp:posOffset>
            </wp:positionH>
            <wp:positionV relativeFrom="paragraph">
              <wp:posOffset>15875</wp:posOffset>
            </wp:positionV>
            <wp:extent cx="4944110" cy="18091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44110" cy="1809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voorwaarden, maar kan het volgende omvatten:</w:t>
      </w:r>
    </w:p>
    <w:p>
      <w:pPr>
        <w:spacing w:after="0" w:line="79" w:lineRule="exact"/>
        <w:rPr>
          <w:sz w:val="20"/>
          <w:szCs w:val="20"/>
          <w:color w:val="auto"/>
        </w:rPr>
      </w:pPr>
    </w:p>
    <w:p>
      <w:pPr xmlns:w="http://schemas.openxmlformats.org/wordprocessingml/2006/main">
        <w:ind w:left="220" w:right="220" w:hanging="218"/>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schrijver kan worden verplicht om te voldoen aan de verplichting om het onderliggende belang te kopen of te verkopen op elk moment waarop de optie vanwege zijn stijl uitoefenbaar is.</w:t>
      </w:r>
      <w:r>
        <w:rPr xmlns:w="http://schemas.openxmlformats.org/wordprocessingml/2006/main">
          <w:rFonts w:ascii="Calibri" w:cs="Calibri" w:eastAsia="Calibri" w:hAnsi="Calibri"/>
          <w:sz w:val="22"/>
          <w:szCs w:val="22"/>
          <w:color w:val="auto"/>
        </w:rPr>
        <w:t xml:space="preserve"> Een put option writer draagt het risico van een verlies gelijk aan het verschil tussen de put uitoefenprijs en nul als de prijs van de onderliggende rente daalt tot nul.</w:t>
      </w:r>
      <w:r>
        <w:rPr xmlns:w="http://schemas.openxmlformats.org/wordprocessingml/2006/main">
          <w:rFonts w:ascii="Calibri" w:cs="Calibri" w:eastAsia="Calibri" w:hAnsi="Calibri"/>
          <w:sz w:val="22"/>
          <w:szCs w:val="22"/>
          <w:color w:val="auto"/>
        </w:rPr>
        <w:t xml:space="preserve"> Schrijvers van dergelijke ongedekte putten zijn verplicht om marge (hieronder beschreven) bij hun makelaar te plaatsen, wat extra risico's creëert.</w:t>
      </w:r>
    </w:p>
    <w:p>
      <w:pPr>
        <w:spacing w:after="0" w:line="80" w:lineRule="exact"/>
        <w:rPr>
          <w:rFonts w:ascii="Symbol" w:cs="Symbol" w:eastAsia="Symbol" w:hAnsi="Symbol"/>
          <w:sz w:val="22"/>
          <w:szCs w:val="22"/>
          <w:color w:val="auto"/>
        </w:rPr>
      </w:pPr>
    </w:p>
    <w:p>
      <w:pPr xmlns:w="http://schemas.openxmlformats.org/wordprocessingml/2006/main">
        <w:jc w:val="both"/>
        <w:ind w:left="220" w:right="360" w:hanging="218"/>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futures-optiebeurs waar futures-opties uitsluitend worden verhandeld, niet meer beschikbaar is, kunnen beleggers niet langer transacties sluiten.</w:t>
      </w:r>
      <w:r>
        <w:rPr xmlns:w="http://schemas.openxmlformats.org/wordprocessingml/2006/main">
          <w:rFonts w:ascii="Calibri" w:cs="Calibri" w:eastAsia="Calibri" w:hAnsi="Calibri"/>
          <w:sz w:val="22"/>
          <w:szCs w:val="22"/>
          <w:color w:val="auto"/>
        </w:rPr>
        <w:t xml:space="preserve"> Bovendien kunnen er momenten zijn waarop futures-optieprijzen geen gebruikelijke of verwachte relaties onderhouden met de waarden van onderliggende of gerelateerde belangen.</w:t>
      </w:r>
    </w:p>
    <w:p>
      <w:pPr>
        <w:spacing w:after="0" w:line="79" w:lineRule="exact"/>
        <w:rPr>
          <w:rFonts w:ascii="Symbol" w:cs="Symbol" w:eastAsia="Symbol" w:hAnsi="Symbol"/>
          <w:sz w:val="22"/>
          <w:szCs w:val="22"/>
          <w:color w:val="auto"/>
        </w:rPr>
      </w:pPr>
    </w:p>
    <w:p>
      <w:pPr xmlns:w="http://schemas.openxmlformats.org/wordprocessingml/2006/main">
        <w:ind w:left="22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futurescontract voor een uitgeoefende optie niet beschikbaar is, kunnen de regels van OCC een alternatieve vorm van afwikkeling vereisen, zoals afwikkeling in contanten.</w:t>
      </w:r>
    </w:p>
    <w:p>
      <w:pPr>
        <w:spacing w:after="0" w:line="80" w:lineRule="exact"/>
        <w:rPr>
          <w:rFonts w:ascii="Symbol" w:cs="Symbol" w:eastAsia="Symbol" w:hAnsi="Symbol"/>
          <w:sz w:val="22"/>
          <w:szCs w:val="22"/>
          <w:color w:val="auto"/>
        </w:rPr>
      </w:pPr>
    </w:p>
    <w:p>
      <w:pPr xmlns:w="http://schemas.openxmlformats.org/wordprocessingml/2006/main">
        <w:ind w:left="220" w:right="90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Beleggers moeten rekening houden met het risico- en beloningsprofiel van het futurescontract dat ten grondslag ligt aan de futuresoptie, zoals beschreven in het relevante essentiële-informatiedocument voor het onderliggende futurescontract.</w:t>
      </w:r>
    </w:p>
    <w:p>
      <w:pPr>
        <w:spacing w:after="0" w:line="2" w:lineRule="exact"/>
        <w:rPr>
          <w:rFonts w:ascii="Symbol" w:cs="Symbol" w:eastAsia="Symbol" w:hAnsi="Symbol"/>
          <w:sz w:val="22"/>
          <w:szCs w:val="22"/>
          <w:color w:val="auto"/>
        </w:rPr>
      </w:pPr>
    </w:p>
    <w:p>
      <w:pPr xmlns:w="http://schemas.openxmlformats.org/wordprocessingml/2006/main">
        <w:ind w:left="220" w:hanging="218"/>
        <w:spacing w:after="0" w:line="23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360" w:hanging="218"/>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67"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19050</wp:posOffset>
            </wp:positionH>
            <wp:positionV relativeFrom="paragraph">
              <wp:posOffset>14605</wp:posOffset>
            </wp:positionV>
            <wp:extent cx="6762115" cy="17405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762115" cy="1740535"/>
                    </a:xfrm>
                    <a:prstGeom prst="rect">
                      <a:avLst/>
                    </a:prstGeom>
                    <a:noFill/>
                  </pic:spPr>
                </pic:pic>
              </a:graphicData>
            </a:graphic>
          </wp:anchor>
        </w:drawing>
        <w:drawing>
          <wp:anchor simplePos="0" relativeHeight="251657728" behindDoc="1" locked="0" layoutInCell="0" allowOverlap="1">
            <wp:simplePos x="0" y="0"/>
            <wp:positionH relativeFrom="column">
              <wp:posOffset>19050</wp:posOffset>
            </wp:positionH>
            <wp:positionV relativeFrom="paragraph">
              <wp:posOffset>14605</wp:posOffset>
            </wp:positionV>
            <wp:extent cx="6762115" cy="17405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762115" cy="1740535"/>
                    </a:xfrm>
                    <a:prstGeom prst="rect">
                      <a:avLst/>
                    </a:prstGeom>
                    <a:noFill/>
                  </pic:spPr>
                </pic:pic>
              </a:graphicData>
            </a:graphic>
          </wp:anchor>
        </w:drawing>
      </w:r>
    </w:p>
    <w:p>
      <w:pPr>
        <w:sectPr>
          <w:pgSz w:w="12240" w:h="15840" w:orient="portrait"/>
          <w:cols w:equalWidth="0" w:num="1">
            <w:col w:w="10820"/>
          </w:cols>
          <w:pgMar w:left="800" w:top="706" w:right="620" w:bottom="292" w:gutter="0" w:footer="0" w:header="0"/>
        </w:sectPr>
      </w:pPr>
    </w:p>
    <w:p>
      <w:pPr>
        <w:spacing w:after="0" w:line="177" w:lineRule="exact"/>
        <w:rPr>
          <w:sz w:val="20"/>
          <w:szCs w:val="20"/>
          <w:color w:val="auto"/>
        </w:rPr>
      </w:pPr>
    </w:p>
    <w:tbl>
      <w:tblPr>
        <w:tblLayout w:type="fixed"/>
        <w:tblInd w:w="440" w:type="dxa"/>
        <w:tblCellMar>
          <w:top w:w="0" w:type="dxa"/>
          <w:left w:w="0" w:type="dxa"/>
          <w:bottom w:w="0" w:type="dxa"/>
          <w:right w:w="0" w:type="dxa"/>
        </w:tblCellMar>
      </w:tblPr>
      <w:tr>
        <w:trPr>
          <w:trHeight w:val="195"/>
        </w:trPr>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4100" w:type="dxa"/>
            <w:vAlign w:val="bottom"/>
            <w:gridSpan w:val="4"/>
          </w:tcPr>
          <w:p>
            <w:pPr xmlns:w="http://schemas.openxmlformats.org/wordprocessingml/2006/main">
              <w:jc w:val="right"/>
              <w:ind w:right="410"/>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schrijven van een put (Premium $ 5; Oefenprijs $ 45)</w:t>
            </w:r>
          </w:p>
        </w:tc>
        <w:tc>
          <w:tcPr>
            <w:tcW w:w="7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7"/>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1080" w:type="dxa"/>
            <w:vAlign w:val="bottom"/>
          </w:tcPr>
          <w:p>
            <w:pPr xmlns:w="http://schemas.openxmlformats.org/wordprocessingml/2006/main">
              <w:jc w:val="right"/>
              <w:ind w:right="135"/>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1100" w:type="dxa"/>
            <w:vAlign w:val="bottom"/>
          </w:tcPr>
          <w:p>
            <w:pPr xmlns:w="http://schemas.openxmlformats.org/wordprocessingml/2006/main">
              <w:jc w:val="right"/>
              <w:ind w:right="255"/>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1100" w:type="dxa"/>
            <w:vAlign w:val="bottom"/>
          </w:tcPr>
          <w:p>
            <w:pPr xmlns:w="http://schemas.openxmlformats.org/wordprocessingml/2006/main">
              <w:jc w:val="right"/>
              <w:ind w:right="390"/>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820" w:type="dxa"/>
            <w:vAlign w:val="bottom"/>
          </w:tcPr>
          <w:p>
            <w:pPr xmlns:w="http://schemas.openxmlformats.org/wordprocessingml/2006/main">
              <w:jc w:val="right"/>
              <w:ind w:right="230"/>
              <w:spacing w:after="0"/>
              <w:rPr>
                <w:sz w:val="20"/>
                <w:szCs w:val="20"/>
                <w:color w:val="auto"/>
              </w:rPr>
            </w:pPr>
            <w:r>
              <w:rPr xmlns:w="http://schemas.openxmlformats.org/wordprocessingml/2006/main">
                <w:rFonts w:ascii="Calibri" w:cs="Calibri" w:eastAsia="Calibri" w:hAnsi="Calibri"/>
                <w:sz w:val="18"/>
                <w:szCs w:val="18"/>
                <w:color w:val="595959"/>
              </w:rPr>
              <w:t xml:space="preserve">$ 80</w:t>
            </w:r>
          </w:p>
        </w:tc>
        <w:tc>
          <w:tcPr>
            <w:tcW w:w="72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$ 100</w:t>
            </w:r>
          </w:p>
        </w:tc>
        <w:tc>
          <w:tcPr>
            <w:tcW w:w="0" w:type="dxa"/>
            <w:vAlign w:val="bottom"/>
          </w:tcPr>
          <w:p>
            <w:pPr>
              <w:spacing w:after="0"/>
              <w:rPr>
                <w:sz w:val="1"/>
                <w:szCs w:val="1"/>
                <w:color w:val="auto"/>
              </w:rPr>
            </w:pPr>
          </w:p>
        </w:tc>
      </w:tr>
      <w:tr>
        <w:trPr>
          <w:trHeight w:val="235"/>
        </w:trPr>
        <w:tc>
          <w:tcPr>
            <w:tcW w:w="160" w:type="dxa"/>
            <w:vAlign w:val="bottom"/>
          </w:tcPr>
          <w:p>
            <w:pPr>
              <w:spacing w:after="0"/>
              <w:rPr>
                <w:sz w:val="20"/>
                <w:szCs w:val="20"/>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108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110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7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95"/>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10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8"/>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108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11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
        </w:trPr>
        <w:tc>
          <w:tcPr>
            <w:tcW w:w="16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1080" w:type="dxa"/>
            <w:vAlign w:val="bottom"/>
          </w:tcPr>
          <w:p>
            <w:pPr>
              <w:spacing w:after="0"/>
              <w:rPr>
                <w:sz w:val="2"/>
                <w:szCs w:val="2"/>
                <w:color w:val="auto"/>
              </w:rPr>
            </w:pPr>
          </w:p>
        </w:tc>
        <w:tc>
          <w:tcPr>
            <w:tcW w:w="1100" w:type="dxa"/>
            <w:vAlign w:val="bottom"/>
          </w:tcPr>
          <w:p>
            <w:pPr>
              <w:spacing w:after="0"/>
              <w:rPr>
                <w:sz w:val="2"/>
                <w:szCs w:val="2"/>
                <w:color w:val="auto"/>
              </w:rPr>
            </w:pPr>
          </w:p>
        </w:tc>
        <w:tc>
          <w:tcPr>
            <w:tcW w:w="1100" w:type="dxa"/>
            <w:vAlign w:val="bottom"/>
          </w:tcPr>
          <w:p>
            <w:pPr>
              <w:spacing w:after="0"/>
              <w:rPr>
                <w:sz w:val="2"/>
                <w:szCs w:val="2"/>
                <w:color w:val="auto"/>
              </w:rPr>
            </w:pPr>
          </w:p>
        </w:tc>
        <w:tc>
          <w:tcPr>
            <w:tcW w:w="820" w:type="dxa"/>
            <w:vAlign w:val="bottom"/>
          </w:tcPr>
          <w:p>
            <w:pPr>
              <w:spacing w:after="0"/>
              <w:rPr>
                <w:sz w:val="2"/>
                <w:szCs w:val="2"/>
                <w:color w:val="auto"/>
              </w:rPr>
            </w:pPr>
          </w:p>
        </w:tc>
        <w:tc>
          <w:tcPr>
            <w:tcW w:w="7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72"/>
        </w:trPr>
        <w:tc>
          <w:tcPr>
            <w:tcW w:w="160" w:type="dxa"/>
            <w:vAlign w:val="bottom"/>
          </w:tcPr>
          <w:p>
            <w:pPr>
              <w:spacing w:after="0"/>
              <w:rPr>
                <w:sz w:val="23"/>
                <w:szCs w:val="23"/>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108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1100" w:type="dxa"/>
            <w:vAlign w:val="bottom"/>
          </w:tcPr>
          <w:p>
            <w:pPr>
              <w:spacing w:after="0"/>
              <w:rPr>
                <w:sz w:val="23"/>
                <w:szCs w:val="23"/>
                <w:color w:val="auto"/>
              </w:rPr>
            </w:pPr>
          </w:p>
        </w:tc>
        <w:tc>
          <w:tcPr>
            <w:tcW w:w="820" w:type="dxa"/>
            <w:vAlign w:val="bottom"/>
          </w:tcPr>
          <w:p>
            <w:pPr>
              <w:spacing w:after="0"/>
              <w:rPr>
                <w:sz w:val="23"/>
                <w:szCs w:val="23"/>
                <w:color w:val="auto"/>
              </w:rPr>
            </w:pPr>
          </w:p>
        </w:tc>
        <w:tc>
          <w:tcPr>
            <w:tcW w:w="720" w:type="dxa"/>
            <w:vAlign w:val="bottom"/>
          </w:tcPr>
          <w:p>
            <w:pPr>
              <w:spacing w:after="0"/>
              <w:rPr>
                <w:sz w:val="23"/>
                <w:szCs w:val="23"/>
                <w:color w:val="auto"/>
              </w:rPr>
            </w:pPr>
          </w:p>
        </w:tc>
        <w:tc>
          <w:tcPr>
            <w:tcW w:w="0" w:type="dxa"/>
            <w:vAlign w:val="bottom"/>
          </w:tcPr>
          <w:p>
            <w:pPr>
              <w:spacing w:after="0"/>
              <w:rPr>
                <w:sz w:val="1"/>
                <w:szCs w:val="1"/>
                <w:color w:val="auto"/>
              </w:rPr>
            </w:pPr>
          </w:p>
        </w:tc>
      </w:tr>
      <w:tr>
        <w:trPr>
          <w:trHeight w:val="295"/>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-$ 30</w:t>
            </w:r>
          </w:p>
        </w:tc>
        <w:tc>
          <w:tcPr>
            <w:tcW w:w="1080" w:type="dxa"/>
            <w:vAlign w:val="bottom"/>
          </w:tcPr>
          <w:p>
            <w:pPr>
              <w:spacing w:after="0"/>
              <w:rPr>
                <w:sz w:val="24"/>
                <w:szCs w:val="24"/>
                <w:color w:val="auto"/>
              </w:rPr>
            </w:pPr>
          </w:p>
        </w:tc>
        <w:tc>
          <w:tcPr>
            <w:tcW w:w="2200" w:type="dxa"/>
            <w:vAlign w:val="bottom"/>
            <w:gridSpan w:val="2"/>
            <w:vMerge w:val="restart"/>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w:t>
            </w:r>
          </w:p>
        </w:tc>
        <w:tc>
          <w:tcPr>
            <w:tcW w:w="82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2200" w:type="dxa"/>
            <w:vAlign w:val="bottom"/>
            <w:gridSpan w:val="2"/>
            <w:vMerge w:val="continue"/>
          </w:tcPr>
          <w:p>
            <w:pPr>
              <w:spacing w:after="0"/>
              <w:rPr>
                <w:sz w:val="11"/>
                <w:szCs w:val="11"/>
                <w:color w:val="auto"/>
              </w:rPr>
            </w:pPr>
          </w:p>
        </w:tc>
        <w:tc>
          <w:tcPr>
            <w:tcW w:w="82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onderliggende marktbeweging</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FF0000"/>
        </w:rPr>
        <w:t xml:space="preserve">rood plotpunt</w:t>
      </w:r>
      <w:r>
        <w:rPr xmlns:w="http://schemas.openxmlformats.org/wordprocessingml/2006/main">
          <w:rFonts w:ascii="Calibri" w:cs="Calibri" w:eastAsia="Calibri" w:hAnsi="Calibri"/>
          <w:sz w:val="17"/>
          <w:szCs w:val="17"/>
          <w:u w:val="single" w:color="auto"/>
          <w:color w:val="auto"/>
        </w:rPr>
        <w:t xml:space="preserve">)</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Marktprijs: $15</w:t>
      </w:r>
    </w:p>
    <w:p>
      <w:pPr>
        <w:spacing w:after="0" w:line="75" w:lineRule="exact"/>
        <w:rPr>
          <w:sz w:val="20"/>
          <w:szCs w:val="20"/>
          <w:color w:val="auto"/>
        </w:rPr>
      </w:pPr>
    </w:p>
    <w:p>
      <w:pPr xmlns:w="http://schemas.openxmlformats.org/wordprocessingml/2006/main">
        <w:ind w:left="280" w:hanging="141"/>
        <w:spacing w:after="0"/>
        <w:tabs>
          <w:tab w:leader="none" w:pos="280" w:val="left"/>
        </w:tabs>
        <w:numPr>
          <w:ilvl w:val="0"/>
          <w:numId w:val="2"/>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Ongunstig voor de schrijver - $ 25</w:t>
      </w:r>
    </w:p>
    <w:p>
      <w:pPr xmlns:w="http://schemas.openxmlformats.org/wordprocessingml/2006/main">
        <w:ind w:left="140"/>
        <w:spacing w:after="0" w:line="210" w:lineRule="auto"/>
        <w:tabs>
          <w:tab w:leader="none" w:pos="190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Gunstig voor de houder</w:t>
        <w:tab xmlns:w="http://schemas.openxmlformats.org/wordprocessingml/2006/main"/>
      </w:r>
      <w:r>
        <w:rPr xmlns:w="http://schemas.openxmlformats.org/wordprocessingml/2006/main">
          <w:rFonts w:ascii="Calibri" w:cs="Calibri" w:eastAsia="Calibri" w:hAnsi="Calibri"/>
          <w:sz w:val="17"/>
          <w:szCs w:val="17"/>
          <w:color w:val="auto"/>
        </w:rPr>
        <w:t xml:space="preserve">+$ 25</w:t>
      </w:r>
    </w:p>
    <w:p>
      <w:pPr>
        <w:spacing w:after="0" w:line="5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onderliggende marktbeweging</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00B050"/>
        </w:rPr>
        <w:t xml:space="preserve">groen plotpunt</w:t>
      </w:r>
      <w:r>
        <w:rPr xmlns:w="http://schemas.openxmlformats.org/wordprocessingml/2006/main">
          <w:rFonts w:ascii="Calibri" w:cs="Calibri" w:eastAsia="Calibri" w:hAnsi="Calibri"/>
          <w:sz w:val="17"/>
          <w:szCs w:val="17"/>
          <w:u w:val="single" w:color="auto"/>
          <w:color w:val="auto"/>
        </w:rPr>
        <w:t xml:space="preserve">)</w:t>
      </w:r>
    </w:p>
    <w:p>
      <w:pPr>
        <w:spacing w:after="0" w:line="1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Marktprijs: $35</w:t>
      </w:r>
    </w:p>
    <w:p>
      <w:pPr>
        <w:spacing w:after="0" w:line="78" w:lineRule="exact"/>
        <w:rPr>
          <w:sz w:val="20"/>
          <w:szCs w:val="20"/>
          <w:color w:val="auto"/>
        </w:rPr>
      </w:pPr>
    </w:p>
    <w:p>
      <w:pPr xmlns:w="http://schemas.openxmlformats.org/wordprocessingml/2006/main">
        <w:ind w:left="280" w:hanging="141"/>
        <w:spacing w:after="0"/>
        <w:tabs>
          <w:tab w:leader="none" w:pos="280" w:val="left"/>
        </w:tabs>
        <w:numPr>
          <w:ilvl w:val="0"/>
          <w:numId w:val="3"/>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Ongunstig voor de schrijver - $ 5</w:t>
      </w:r>
    </w:p>
    <w:p>
      <w:pPr xmlns:w="http://schemas.openxmlformats.org/wordprocessingml/2006/main">
        <w:ind w:left="140"/>
        <w:spacing w:after="0" w:line="196" w:lineRule="auto"/>
        <w:tabs>
          <w:tab w:leader="none" w:pos="194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Gunstig voor de houder</w:t>
        <w:tab xmlns:w="http://schemas.openxmlformats.org/wordprocessingml/2006/main"/>
      </w:r>
      <w:r>
        <w:rPr xmlns:w="http://schemas.openxmlformats.org/wordprocessingml/2006/main">
          <w:rFonts w:ascii="Calibri" w:cs="Calibri" w:eastAsia="Calibri" w:hAnsi="Calibri"/>
          <w:sz w:val="18"/>
          <w:szCs w:val="18"/>
          <w:color w:val="auto"/>
        </w:rPr>
        <w:t xml:space="preserve">+$ 5</w:t>
      </w:r>
    </w:p>
    <w:p>
      <w:pPr>
        <w:spacing w:after="0" w:line="35" w:lineRule="exact"/>
        <w:rPr>
          <w:sz w:val="20"/>
          <w:szCs w:val="20"/>
          <w:color w:val="auto"/>
        </w:rPr>
      </w:pPr>
    </w:p>
    <w:p>
      <w:pPr xmlns:w="http://schemas.openxmlformats.org/wordprocessingml/2006/main">
        <w:ind w:right="42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minus de premie.</w:t>
      </w:r>
    </w:p>
    <w:p>
      <w:pPr>
        <w:spacing w:after="0" w:line="200" w:lineRule="exact"/>
        <w:rPr>
          <w:sz w:val="20"/>
          <w:szCs w:val="20"/>
          <w:color w:val="auto"/>
        </w:rPr>
      </w:pPr>
    </w:p>
    <w:p>
      <w:pPr>
        <w:sectPr>
          <w:pgSz w:w="12240" w:h="15840" w:orient="portrait"/>
          <w:cols w:equalWidth="0" w:num="2">
            <w:col w:w="6200" w:space="440"/>
            <w:col w:w="4180"/>
          </w:cols>
          <w:pgMar w:left="800" w:top="706" w:right="620" w:bottom="292" w:gutter="0" w:footer="0" w:header="0"/>
          <w:type w:val="continuous"/>
        </w:sectPr>
      </w:pPr>
    </w:p>
    <w:p>
      <w:pPr>
        <w:spacing w:after="0" w:line="129" w:lineRule="exact"/>
        <w:rPr>
          <w:sz w:val="20"/>
          <w:szCs w:val="20"/>
          <w:color w:val="auto"/>
        </w:rPr>
      </w:pPr>
    </w:p>
    <w:p>
      <w:pPr xmlns:w="http://schemas.openxmlformats.org/wordprocessingml/2006/main">
        <w:ind w:right="2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en de verticale as toont de winst of het verlies.</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ontvangt.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19685</wp:posOffset>
                </wp:positionV>
                <wp:extent cx="701738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173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55pt" to="547pt,1.55pt" o:allowincell="f" strokecolor="#000000" strokeweight="0.4799pt"/>
            </w:pict>
          </mc:Fallback>
        </mc:AlternateContent>
      </w:r>
    </w:p>
    <w:p>
      <w:pPr>
        <w:sectPr>
          <w:pgSz w:w="12240" w:h="15840" w:orient="portrait"/>
          <w:cols w:equalWidth="0" w:num="1">
            <w:col w:w="10820"/>
          </w:cols>
          <w:pgMar w:left="800" w:top="706" w:right="620" w:bottom="292" w:gutter="0" w:footer="0" w:header="0"/>
          <w:type w:val="continuous"/>
        </w:sectPr>
      </w:pPr>
    </w:p>
    <w:bookmarkStart w:id="2" w:name="page3"/>
    <w:bookmarkEnd w:id="2"/>
    <w:p>
      <w:pPr xmlns:w="http://schemas.openxmlformats.org/wordprocessingml/2006/main">
        <w:ind w:left="220" w:right="24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459740</wp:posOffset>
                </wp:positionV>
                <wp:extent cx="701802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6.2pt" to="587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6100445</wp:posOffset>
                </wp:positionV>
                <wp:extent cx="701802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480.35pt" to="587pt,480.3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7640955</wp:posOffset>
                </wp:positionV>
                <wp:extent cx="701802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601.65pt" to="587pt,601.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457200</wp:posOffset>
                </wp:positionV>
                <wp:extent cx="0" cy="896112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1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36pt" to="34.65pt,741.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7452360</wp:posOffset>
                </wp:positionH>
                <wp:positionV relativeFrom="page">
                  <wp:posOffset>457200</wp:posOffset>
                </wp:positionV>
                <wp:extent cx="0" cy="896112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1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6.8pt,36pt" to="586.8pt,741.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futures-opties liggen tussen OCC en een groep makelaarskantoren die clearingleden worden genoemd en die de posities van alle futures-optiehouders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2" w:lineRule="exact"/>
        <w:rPr>
          <w:sz w:val="20"/>
          <w:szCs w:val="20"/>
          <w:color w:val="auto"/>
        </w:rPr>
      </w:pPr>
    </w:p>
    <w:tbl>
      <w:tblPr>
        <w:tblLayout w:type="fixed"/>
        <w:tblInd w:w="100" w:type="dxa"/>
        <w:tblCellMar>
          <w:top w:w="0" w:type="dxa"/>
          <w:left w:w="0" w:type="dxa"/>
          <w:bottom w:w="0" w:type="dxa"/>
          <w:right w:w="0" w:type="dxa"/>
        </w:tblCellMar>
      </w:tblPr>
      <w:tr>
        <w:trPr>
          <w:trHeight w:val="280"/>
        </w:trPr>
        <w:tc>
          <w:tcPr>
            <w:tcW w:w="5740" w:type="dxa"/>
            <w:vAlign w:val="bottom"/>
            <w:tcBorders>
              <w:top w:val="single" w:sz="8" w:color="auto"/>
              <w:right w:val="single" w:sz="8" w:color="auto"/>
            </w:tcBorders>
          </w:tcPr>
          <w:p>
            <w:pPr xmlns:w="http://schemas.openxmlformats.org/wordprocessingml/2006/main">
              <w:ind w:left="12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u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6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740" w:type="dxa"/>
            <w:vAlign w:val="bottom"/>
            <w:tcBorders>
              <w:right w:val="single" w:sz="8" w:color="auto"/>
            </w:tcBorders>
          </w:tcPr>
          <w:p>
            <w:pPr xmlns:w="http://schemas.openxmlformats.org/wordprocessingml/2006/main">
              <w:ind w:left="12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Dit product kan u andere kosten in rekening brengen.</w:t>
            </w:r>
            <w:r>
              <w:rPr xmlns:w="http://schemas.openxmlformats.org/wordprocessingml/2006/main">
                <w:rFonts w:ascii="Calibri" w:cs="Calibri" w:eastAsia="Calibri" w:hAnsi="Calibri"/>
                <w:sz w:val="22"/>
                <w:szCs w:val="22"/>
                <w:color w:val="auto"/>
              </w:rPr>
              <w:t xml:space="preserve"> Zo ja, deze persoon</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740" w:type="dxa"/>
            <w:vAlign w:val="bottom"/>
            <w:tcBorders>
              <w:right w:val="single" w:sz="8" w:color="auto"/>
            </w:tcBorders>
          </w:tcPr>
          <w:p>
            <w:pPr xmlns:w="http://schemas.openxmlformats.org/wordprocessingml/2006/main">
              <w:ind w:left="12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zal u informatie verstrekken over deze kosten en</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6"/>
              </w:rPr>
              <w:t xml:space="preserve">jaarlijkse kostenimpact</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740" w:type="dxa"/>
            <w:vAlign w:val="bottom"/>
          </w:tcPr>
          <w:p>
            <w:pPr xmlns:w="http://schemas.openxmlformats.org/wordprocessingml/2006/main">
              <w:ind w:left="12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hoe ze uw investering beïnvloeden.</w:t>
            </w:r>
            <w:r>
              <w:rPr xmlns:w="http://schemas.openxmlformats.org/wordprocessingml/2006/main">
                <w:rFonts w:ascii="Calibri" w:cs="Calibri" w:eastAsia="Calibri" w:hAnsi="Calibri"/>
                <w:sz w:val="22"/>
                <w:szCs w:val="22"/>
                <w:color w:val="auto"/>
              </w:rPr>
              <w:t xml:space="preserve"> Totale kosten voor</w:t>
            </w: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740" w:type="dxa"/>
            <w:vAlign w:val="bottom"/>
            <w:tcBorders>
              <w:right w:val="single" w:sz="8" w:color="auto"/>
            </w:tcBorders>
          </w:tcPr>
          <w:p>
            <w:pPr xmlns:w="http://schemas.openxmlformats.org/wordprocessingml/2006/main">
              <w:ind w:left="12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Futures zijn afhankelijk van meerdere factoren.</w:t>
            </w:r>
            <w:r>
              <w:rPr xmlns:w="http://schemas.openxmlformats.org/wordprocessingml/2006/main">
                <w:rFonts w:ascii="Calibri" w:cs="Calibri" w:eastAsia="Calibri" w:hAnsi="Calibri"/>
                <w:sz w:val="22"/>
                <w:szCs w:val="22"/>
                <w:color w:val="auto"/>
              </w:rPr>
              <w:t xml:space="preserve"> Een optie</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58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740" w:type="dxa"/>
            <w:vAlign w:val="bottom"/>
            <w:tcBorders>
              <w:right w:val="single" w:sz="8" w:color="auto"/>
            </w:tcBorders>
          </w:tcPr>
          <w:p>
            <w:pPr xmlns:w="http://schemas.openxmlformats.org/wordprocessingml/2006/main">
              <w:ind w:left="12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De premie is de prijs die de houder betaalt aan de schrijver.</w:t>
            </w:r>
            <w:r>
              <w:rPr xmlns:w="http://schemas.openxmlformats.org/wordprocessingml/2006/main">
                <w:rFonts w:ascii="Calibri" w:cs="Calibri" w:eastAsia="Calibri" w:hAnsi="Calibri"/>
                <w:sz w:val="22"/>
                <w:szCs w:val="22"/>
                <w:color w:val="auto"/>
              </w:rPr>
              <w:t xml:space="preserve"> Factoren</w:t>
            </w:r>
          </w:p>
        </w:tc>
        <w:tc>
          <w:tcPr>
            <w:tcW w:w="100" w:type="dxa"/>
            <w:vAlign w:val="bottom"/>
            <w:tcBorders>
              <w:bottom w:val="single" w:sz="8" w:color="auto"/>
            </w:tcBorders>
            <w:shd w:val="clear" w:color="auto" w:fill="DADADA"/>
          </w:tcPr>
          <w:p>
            <w:pPr>
              <w:spacing w:after="0"/>
              <w:rPr>
                <w:sz w:val="21"/>
                <w:szCs w:val="21"/>
                <w:color w:val="auto"/>
              </w:rPr>
            </w:pPr>
          </w:p>
        </w:tc>
        <w:tc>
          <w:tcPr>
            <w:tcW w:w="346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740" w:type="dxa"/>
            <w:vAlign w:val="bottom"/>
            <w:tcBorders>
              <w:right w:val="single" w:sz="8" w:color="auto"/>
            </w:tcBorders>
          </w:tcPr>
          <w:p>
            <w:pPr xmlns:w="http://schemas.openxmlformats.org/wordprocessingml/2006/main">
              <w:ind w:left="12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met een aanzienlijk effect op de premie omvatten, maar zijn</w:t>
            </w:r>
          </w:p>
        </w:tc>
        <w:tc>
          <w:tcPr>
            <w:tcW w:w="10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10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740" w:type="dxa"/>
            <w:vAlign w:val="bottom"/>
            <w:tcBorders>
              <w:right w:val="single" w:sz="8" w:color="auto"/>
            </w:tcBorders>
            <w:vMerge w:val="restart"/>
          </w:tcPr>
          <w:p>
            <w:pPr xmlns:w="http://schemas.openxmlformats.org/wordprocessingml/2006/main">
              <w:ind w:left="12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niet beperkt tot, de waarde van het onderliggende belang, de tijd tot</w:t>
            </w:r>
          </w:p>
        </w:tc>
        <w:tc>
          <w:tcPr>
            <w:tcW w:w="100" w:type="dxa"/>
            <w:vAlign w:val="bottom"/>
          </w:tcPr>
          <w:p>
            <w:pPr>
              <w:spacing w:after="0"/>
              <w:rPr>
                <w:sz w:val="15"/>
                <w:szCs w:val="15"/>
                <w:color w:val="auto"/>
              </w:rPr>
            </w:pPr>
          </w:p>
        </w:tc>
        <w:tc>
          <w:tcPr>
            <w:tcW w:w="142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100" w:type="dxa"/>
            <w:vAlign w:val="bottom"/>
          </w:tcPr>
          <w:p>
            <w:pPr>
              <w:spacing w:after="0"/>
              <w:rPr>
                <w:sz w:val="15"/>
                <w:szCs w:val="15"/>
                <w:color w:val="auto"/>
              </w:rPr>
            </w:pPr>
          </w:p>
        </w:tc>
        <w:tc>
          <w:tcPr>
            <w:tcW w:w="206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10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7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7"/>
                <w:szCs w:val="7"/>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10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expiratie en uitoefenprijs.</w:t>
            </w:r>
            <w:r>
              <w:rPr xmlns:w="http://schemas.openxmlformats.org/wordprocessingml/2006/main">
                <w:rFonts w:ascii="Calibri" w:cs="Calibri" w:eastAsia="Calibri" w:hAnsi="Calibri"/>
                <w:sz w:val="22"/>
                <w:szCs w:val="22"/>
                <w:color w:val="auto"/>
              </w:rPr>
              <w:t xml:space="preserve"> Opties beleggen omvat</w:t>
            </w:r>
          </w:p>
        </w:tc>
        <w:tc>
          <w:tcPr>
            <w:tcW w:w="100" w:type="dxa"/>
            <w:vAlign w:val="bottom"/>
          </w:tcPr>
          <w:p>
            <w:pPr>
              <w:spacing w:after="0"/>
              <w:rPr>
                <w:sz w:val="12"/>
                <w:szCs w:val="12"/>
                <w:color w:val="auto"/>
              </w:rPr>
            </w:pPr>
          </w:p>
        </w:tc>
        <w:tc>
          <w:tcPr>
            <w:tcW w:w="142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2060" w:type="dxa"/>
            <w:vAlign w:val="bottom"/>
            <w:tcBorders>
              <w:right w:val="single" w:sz="8" w:color="auto"/>
            </w:tcBorders>
            <w:gridSpan w:val="5"/>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74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10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5"/>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Bijkomende kosten die fiscale overwegingen omvatten, transactie</w:t>
            </w:r>
          </w:p>
        </w:tc>
        <w:tc>
          <w:tcPr>
            <w:tcW w:w="10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2060" w:type="dxa"/>
            <w:vAlign w:val="bottom"/>
            <w:tcBorders>
              <w:bottom w:val="single" w:sz="8" w:color="auto"/>
              <w:right w:val="single" w:sz="8" w:color="auto"/>
            </w:tcBorders>
            <w:gridSpan w:val="5"/>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4"/>
        </w:trPr>
        <w:tc>
          <w:tcPr>
            <w:tcW w:w="57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74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tcBorders>
              <w:right w:val="single" w:sz="8" w:color="auto"/>
            </w:tcBorders>
            <w:vMerge w:val="continue"/>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46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740" w:type="dxa"/>
            <w:vAlign w:val="bottom"/>
            <w:tcBorders>
              <w:right w:val="single" w:sz="8" w:color="auto"/>
            </w:tcBorders>
          </w:tcPr>
          <w:p>
            <w:pPr xmlns:w="http://schemas.openxmlformats.org/wordprocessingml/2006/main">
              <w:ind w:left="12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kosten en margevereisten die een aanzienlijke invloed kunnen hebben op</w:t>
            </w:r>
          </w:p>
        </w:tc>
        <w:tc>
          <w:tcPr>
            <w:tcW w:w="100" w:type="dxa"/>
            <w:vAlign w:val="bottom"/>
          </w:tcPr>
          <w:p>
            <w:pPr>
              <w:spacing w:after="0"/>
              <w:rPr>
                <w:sz w:val="19"/>
                <w:szCs w:val="19"/>
                <w:color w:val="auto"/>
              </w:rPr>
            </w:pPr>
          </w:p>
        </w:tc>
        <w:tc>
          <w:tcPr>
            <w:tcW w:w="142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5740" w:type="dxa"/>
            <w:vAlign w:val="bottom"/>
            <w:tcBorders>
              <w:right w:val="single" w:sz="8" w:color="auto"/>
            </w:tcBorders>
          </w:tcPr>
          <w:p>
            <w:pPr xmlns:w="http://schemas.openxmlformats.org/wordprocessingml/2006/main">
              <w:ind w:left="120"/>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winst of verlies.</w:t>
            </w:r>
            <w:r>
              <w:rPr xmlns:w="http://schemas.openxmlformats.org/wordprocessingml/2006/main">
                <w:rFonts w:ascii="Calibri" w:cs="Calibri" w:eastAsia="Calibri" w:hAnsi="Calibri"/>
                <w:sz w:val="22"/>
                <w:szCs w:val="22"/>
                <w:color w:val="auto"/>
              </w:rPr>
              <w:t xml:space="preserve"> Transactiekosten bestaan voornamelijk uit</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commissies (die worden opgelegd bij het openen, sluiten,</w:t>
            </w:r>
          </w:p>
        </w:tc>
        <w:tc>
          <w:tcPr>
            <w:tcW w:w="100" w:type="dxa"/>
            <w:vAlign w:val="bottom"/>
            <w:shd w:val="clear" w:color="auto" w:fill="DADADA"/>
          </w:tcPr>
          <w:p>
            <w:pPr>
              <w:spacing w:after="0"/>
              <w:rPr>
                <w:sz w:val="17"/>
                <w:szCs w:val="17"/>
                <w:color w:val="auto"/>
              </w:rPr>
            </w:pPr>
          </w:p>
        </w:tc>
        <w:tc>
          <w:tcPr>
            <w:tcW w:w="142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6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2"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74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10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6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uitoefening- en cessietransacties), maar kan ook omvatten</w:t>
            </w: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6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7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6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marge- en rentekosten.</w:t>
            </w:r>
            <w:r>
              <w:rPr xmlns:w="http://schemas.openxmlformats.org/wordprocessingml/2006/main">
                <w:rFonts w:ascii="Calibri" w:cs="Calibri" w:eastAsia="Calibri" w:hAnsi="Calibri"/>
                <w:sz w:val="22"/>
                <w:szCs w:val="22"/>
                <w:color w:val="auto"/>
              </w:rPr>
              <w:t xml:space="preserve"> Marge betekent de activa</w:t>
            </w:r>
          </w:p>
        </w:tc>
        <w:tc>
          <w:tcPr>
            <w:tcW w:w="100" w:type="dxa"/>
            <w:vAlign w:val="bottom"/>
          </w:tcPr>
          <w:p>
            <w:pPr>
              <w:spacing w:after="0"/>
              <w:rPr>
                <w:sz w:val="10"/>
                <w:szCs w:val="10"/>
                <w:color w:val="auto"/>
              </w:rPr>
            </w:pPr>
          </w:p>
        </w:tc>
        <w:tc>
          <w:tcPr>
            <w:tcW w:w="1420" w:type="dxa"/>
            <w:vAlign w:val="bottom"/>
            <w:tcBorders>
              <w:right w:val="single" w:sz="8" w:color="auto"/>
            </w:tcBorders>
            <w:vMerge w:val="continue"/>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7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verplicht te worden gedeponeerd door een schrijver bij zijn makelaarskantoor</w:t>
            </w:r>
          </w:p>
        </w:tc>
        <w:tc>
          <w:tcPr>
            <w:tcW w:w="100" w:type="dxa"/>
            <w:vAlign w:val="bottom"/>
          </w:tcPr>
          <w:p>
            <w:pPr>
              <w:spacing w:after="0"/>
              <w:rPr>
                <w:sz w:val="6"/>
                <w:szCs w:val="6"/>
                <w:color w:val="auto"/>
              </w:rPr>
            </w:pPr>
          </w:p>
        </w:tc>
        <w:tc>
          <w:tcPr>
            <w:tcW w:w="142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Pr>
          <w:p>
            <w:pPr>
              <w:spacing w:after="0"/>
              <w:rPr>
                <w:sz w:val="6"/>
                <w:szCs w:val="6"/>
                <w:color w:val="auto"/>
              </w:rPr>
            </w:pPr>
          </w:p>
        </w:tc>
        <w:tc>
          <w:tcPr>
            <w:tcW w:w="46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74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2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100" w:type="dxa"/>
            <w:vAlign w:val="bottom"/>
          </w:tcPr>
          <w:p>
            <w:pPr>
              <w:spacing w:after="0"/>
              <w:rPr>
                <w:sz w:val="19"/>
                <w:szCs w:val="19"/>
                <w:color w:val="auto"/>
              </w:rPr>
            </w:pPr>
          </w:p>
        </w:tc>
        <w:tc>
          <w:tcPr>
            <w:tcW w:w="206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10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740" w:type="dxa"/>
            <w:vAlign w:val="bottom"/>
            <w:tcBorders>
              <w:right w:val="single" w:sz="8" w:color="auto"/>
            </w:tcBorders>
          </w:tcPr>
          <w:p>
            <w:pPr xmlns:w="http://schemas.openxmlformats.org/wordprocessingml/2006/main">
              <w:ind w:left="12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als onderpand voor de verplichting, voor zover van toepassing, tot koop of verkoop</w:t>
            </w:r>
          </w:p>
        </w:tc>
        <w:tc>
          <w:tcPr>
            <w:tcW w:w="10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10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4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10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74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60" w:type="dxa"/>
            <w:vAlign w:val="bottom"/>
            <w:tcBorders>
              <w:bottom w:val="single" w:sz="8" w:color="auto"/>
              <w:right w:val="single" w:sz="8" w:color="auto"/>
            </w:tcBorders>
            <w:gridSpan w:val="5"/>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740" w:type="dxa"/>
            <w:vAlign w:val="bottom"/>
            <w:tcBorders>
              <w:right w:val="single" w:sz="8" w:color="auto"/>
            </w:tcBorders>
          </w:tcPr>
          <w:p>
            <w:pPr xmlns:w="http://schemas.openxmlformats.org/wordprocessingml/2006/main">
              <w:ind w:left="12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de onderliggende rente of het bedrag van de afwikkeling in contanten betalen.</w:t>
            </w:r>
          </w:p>
        </w:tc>
        <w:tc>
          <w:tcPr>
            <w:tcW w:w="10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10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Als een optie wordt uitgeoefend en toegewezen, kan een schrijver</w:t>
            </w:r>
          </w:p>
        </w:tc>
        <w:tc>
          <w:tcPr>
            <w:tcW w:w="100" w:type="dxa"/>
            <w:vAlign w:val="bottom"/>
          </w:tcPr>
          <w:p>
            <w:pPr>
              <w:spacing w:after="0"/>
              <w:rPr>
                <w:sz w:val="14"/>
                <w:szCs w:val="14"/>
                <w:color w:val="auto"/>
              </w:rPr>
            </w:pPr>
          </w:p>
        </w:tc>
        <w:tc>
          <w:tcPr>
            <w:tcW w:w="14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10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74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100" w:type="dxa"/>
            <w:vAlign w:val="bottom"/>
          </w:tcPr>
          <w:p>
            <w:pPr>
              <w:spacing w:after="0"/>
              <w:rPr>
                <w:sz w:val="8"/>
                <w:szCs w:val="8"/>
                <w:color w:val="auto"/>
              </w:rPr>
            </w:pPr>
          </w:p>
        </w:tc>
        <w:tc>
          <w:tcPr>
            <w:tcW w:w="206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10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extra kosten in verband met het onderliggende futurescontract.</w:t>
            </w:r>
          </w:p>
        </w:tc>
        <w:tc>
          <w:tcPr>
            <w:tcW w:w="10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5"/>
            <w:vMerge w:val="continue"/>
          </w:tcPr>
          <w:p>
            <w:pPr>
              <w:spacing w:after="0"/>
              <w:rPr>
                <w:sz w:val="9"/>
                <w:szCs w:val="9"/>
                <w:color w:val="auto"/>
              </w:rPr>
            </w:pPr>
          </w:p>
        </w:tc>
        <w:tc>
          <w:tcPr>
            <w:tcW w:w="10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74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74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6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w w:val="99"/>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740" w:type="dxa"/>
            <w:vAlign w:val="bottom"/>
            <w:tcBorders>
              <w:right w:val="single" w:sz="8" w:color="auto"/>
            </w:tcBorders>
            <w:vMerge w:val="restart"/>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Afgezien van de kosten van de belegger, brengt OCC gerelateerde kosten in rekening voor</w:t>
            </w:r>
          </w:p>
        </w:tc>
        <w:tc>
          <w:tcPr>
            <w:tcW w:w="100" w:type="dxa"/>
            <w:vAlign w:val="bottom"/>
            <w:tcBorders>
              <w:bottom w:val="single" w:sz="8" w:color="auto"/>
            </w:tcBorders>
            <w:shd w:val="clear" w:color="auto" w:fill="DADADA"/>
          </w:tcPr>
          <w:p>
            <w:pPr>
              <w:spacing w:after="0"/>
              <w:rPr>
                <w:sz w:val="15"/>
                <w:szCs w:val="15"/>
                <w:color w:val="auto"/>
              </w:rPr>
            </w:pPr>
          </w:p>
        </w:tc>
        <w:tc>
          <w:tcPr>
            <w:tcW w:w="346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74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100" w:type="dxa"/>
            <w:vAlign w:val="bottom"/>
          </w:tcPr>
          <w:p>
            <w:pPr>
              <w:spacing w:after="0"/>
              <w:rPr>
                <w:sz w:val="6"/>
                <w:szCs w:val="6"/>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10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740" w:type="dxa"/>
            <w:vAlign w:val="bottom"/>
            <w:tcBorders>
              <w:right w:val="single" w:sz="8" w:color="auto"/>
            </w:tcBorders>
          </w:tcPr>
          <w:p>
            <w:pPr xmlns:w="http://schemas.openxmlformats.org/wordprocessingml/2006/main">
              <w:ind w:left="12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clearing van dit product aan zijn clearingleden, maar niet</w:t>
            </w: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5"/>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14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futures-optie uit te oefenen is een belangrijke beleggingsbeslissing voor een houder, net als de beslissing voor zowel optiehouders als schrijvers om een bestaande optiepositie te sluiten voordat de optie vervalt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futures-optiecontract(en) moeten uitoefenen of een bestaande positie moeten sluiten.</w:t>
      </w:r>
      <w:r>
        <w:rPr xmlns:w="http://schemas.openxmlformats.org/wordprocessingml/2006/main">
          <w:rFonts w:ascii="Calibri" w:cs="Calibri" w:eastAsia="Calibri" w:hAnsi="Calibri"/>
          <w:sz w:val="22"/>
          <w:szCs w:val="22"/>
          <w:color w:val="auto"/>
        </w:rPr>
        <w:t xml:space="preserve"> Beleggers die een bestaande futures-optiepositie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sz w:val="20"/>
          <w:szCs w:val="20"/>
          <w:color w:val="auto"/>
        </w:rPr>
      </w:pPr>
    </w:p>
    <w:p>
      <w:pPr xmlns:w="http://schemas.openxmlformats.org/wordprocessingml/2006/main">
        <w:ind w:left="220" w:right="120"/>
        <w:spacing w:after="0" w:line="225"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auto"/>
        </w:rPr>
        <w:t xml:space="preserve">), de NFA (</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of de CFTC (</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5" w:lineRule="exact"/>
        <w:rPr>
          <w:sz w:val="20"/>
          <w:szCs w:val="20"/>
          <w:color w:val="auto"/>
        </w:rPr>
      </w:pPr>
    </w:p>
    <w:tbl>
      <w:tblPr>
        <w:tblLayout w:type="fixed"/>
        <w:tblInd w:w="320" w:type="dxa"/>
        <w:tblCellMar>
          <w:top w:w="0" w:type="dxa"/>
          <w:left w:w="0" w:type="dxa"/>
          <w:bottom w:w="0" w:type="dxa"/>
          <w:right w:w="0" w:type="dxa"/>
        </w:tblCellMar>
      </w:tblPr>
      <w:tr>
        <w:trPr>
          <w:trHeight w:val="244"/>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FINRA-beleggersklacht</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Amerikaanse Securities and Exchange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nationale futuresvereniging</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w w:val="98"/>
              </w:rPr>
              <w:t xml:space="preserve">Amerikaanse grondstoffenfutures</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Centrum</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Commissie/Bureau van</w:t>
            </w:r>
          </w:p>
        </w:tc>
        <w:tc>
          <w:tcPr>
            <w:tcW w:w="258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handelscommissie</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9509 Key West Avenue</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Investeerder en onderwijs</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Chicago, IL 60606-6615</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Activiteiten in de omgeving van Three Lafayette Center</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pleitbezorging</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Telefoon: 312-781-1300</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1155 21st Street, NW</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Telefoon: (240) 386-HELP</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n.e.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Fax: 312 781 1467</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Washington, DC 20581</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4357</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Washington, DC 20549-0213</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Telefoon: 866-366-2382</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Fax (866) 397-3290</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Fax (202) 772-9295</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Fax: 202-418-5521</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68580</wp:posOffset>
                </wp:positionH>
                <wp:positionV relativeFrom="paragraph">
                  <wp:posOffset>14605</wp:posOffset>
                </wp:positionV>
                <wp:extent cx="701802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180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pt,1.15pt" to="558pt,1.15pt" o:allowincell="f" strokecolor="#000000" strokeweight="0.4799pt"/>
            </w:pict>
          </mc:Fallback>
        </mc:AlternateContent>
      </w:r>
    </w:p>
    <w:p>
      <w:pPr>
        <w:sectPr>
          <w:pgSz w:w="12240" w:h="15840" w:orient="portrait"/>
          <w:cols w:equalWidth="0" w:num="1">
            <w:col w:w="11160"/>
          </w:cols>
          <w:pgMar w:left="580" w:top="774" w:right="500" w:bottom="197" w:gutter="0" w:footer="0" w:header="0"/>
        </w:sectPr>
      </w:pP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1"/>
          <w:szCs w:val="21"/>
          <w:color w:val="auto"/>
        </w:rPr>
        <w:t xml:space="preserve">©2023 The Options Clearing Corporation.</w:t>
      </w:r>
      <w:r>
        <w:rPr xmlns:w="http://schemas.openxmlformats.org/wordprocessingml/2006/main">
          <w:rFonts w:ascii="Calibri" w:cs="Calibri" w:eastAsia="Calibri" w:hAnsi="Calibri"/>
          <w:sz w:val="21"/>
          <w:szCs w:val="21"/>
          <w:color w:val="auto"/>
        </w:rPr>
        <w:t xml:space="preserve"> Alle rechten voorbehouden.</w:t>
      </w:r>
    </w:p>
    <w:sectPr>
      <w:pgSz w:w="12240" w:h="15840" w:orient="portrait"/>
      <w:cols w:equalWidth="0" w:num="1">
        <w:col w:w="11160"/>
      </w:cols>
      <w:pgMar w:left="580" w:top="774" w:right="500" w:bottom="197"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4A17B6D7"/>
    <w:multiLevelType w:val="hybridMultilevel"/>
    <w:lvl w:ilvl="0">
      <w:lvlJc w:val="left"/>
      <w:lvlText w:val="·"/>
      <w:numFmt w:val="bullet"/>
      <w:start w:val="1"/>
    </w:lvl>
  </w:abstractNum>
  <w:abstractNum w:abstractNumId="1">
    <w:nsid w:val="3E43F7B0"/>
    <w:multiLevelType w:val="hybridMultilevel"/>
    <w:lvl w:ilvl="0">
      <w:lvlJc w:val="left"/>
      <w:lvlText w:val="·"/>
      <w:numFmt w:val="bullet"/>
      <w:start w:val="1"/>
    </w:lvl>
  </w:abstractNum>
  <w:abstractNum w:abstractNumId="2">
    <w:nsid w:val="1FA59A85"/>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2024-06-24T10:36:39Z</dcterms:created>
  <dcterms:modified xsi:type="dcterms:W3CDTF">2024-06-24T10:36:39Z</dcterms:modified>
</cp:coreProperties>
</file>