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626110</wp:posOffset>
                </wp:positionH>
                <wp:positionV relativeFrom="page">
                  <wp:posOffset>463550</wp:posOffset>
                </wp:positionV>
                <wp:extent cx="683387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3387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9.3pt;margin-top:36.5pt;width:538.1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673735</wp:posOffset>
                </wp:positionH>
                <wp:positionV relativeFrom="page">
                  <wp:posOffset>463550</wp:posOffset>
                </wp:positionV>
                <wp:extent cx="673925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3925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53.05pt;margin-top:36.5pt;width:530.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4784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962660</wp:posOffset>
                </wp:positionV>
                <wp:extent cx="68478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75.8pt" to="588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1837690</wp:posOffset>
                </wp:positionV>
                <wp:extent cx="684784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44.7pt" to="588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3052445</wp:posOffset>
                </wp:positionV>
                <wp:extent cx="684784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240.35pt" to="588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3911600</wp:posOffset>
                </wp:positionV>
                <wp:extent cx="684784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08pt" to="588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55218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521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09.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7464425</wp:posOffset>
                </wp:positionH>
                <wp:positionV relativeFrom="page">
                  <wp:posOffset>457200</wp:posOffset>
                </wp:positionV>
                <wp:extent cx="0" cy="855218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521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7.75pt,36pt" to="587.75pt,709.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Standaardaandelenoptie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25400</wp:posOffset>
                </wp:positionV>
                <wp:extent cx="683323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3235" cy="868680"/>
                        </a:xfrm>
                        <a:prstGeom prst="rect">
                          <a:avLst/>
                        </a:prstGeom>
                        <a:solidFill>
                          <a:srgbClr val="9CC2E5"/>
                        </a:solidFill>
                      </wps:spPr>
                      <wps:bodyPr/>
                    </wps:wsp>
                  </a:graphicData>
                </a:graphic>
              </wp:anchor>
            </w:drawing>
          </mc:Choice>
          <mc:Fallback>
            <w:pict>
              <v:rect id="Shape 10" o:spid="_x0000_s1035" style="position:absolute;margin-left:-4.6499pt;margin-top:2pt;width:538.0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aandelenopties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aandelenopties (a / k / a "beursgenoteerde opties").</w:t>
      </w:r>
      <w:r>
        <w:rPr xmlns:w="http://schemas.openxmlformats.org/wordprocessingml/2006/main">
          <w:rFonts w:ascii="Calibri" w:cs="Calibri" w:eastAsia="Calibri" w:hAnsi="Calibri"/>
          <w:sz w:val="22"/>
          <w:szCs w:val="22"/>
          <w:color w:val="auto"/>
        </w:rPr>
        <w:t xml:space="preserve"> Standaardaandelenopties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2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aandelenopties verhandelen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20955</wp:posOffset>
                </wp:positionV>
                <wp:extent cx="6833235" cy="508889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3235" cy="5088890"/>
                        </a:xfrm>
                        <a:prstGeom prst="rect">
                          <a:avLst/>
                        </a:prstGeom>
                        <a:solidFill>
                          <a:srgbClr val="BDD6EE"/>
                        </a:solidFill>
                      </wps:spPr>
                      <wps:bodyPr/>
                    </wps:wsp>
                  </a:graphicData>
                </a:graphic>
              </wp:anchor>
            </w:drawing>
          </mc:Choice>
          <mc:Fallback>
            <w:pict>
              <v:rect id="Shape 11" o:spid="_x0000_s1036" style="position:absolute;margin-left:-4.6499pt;margin-top:1.65pt;width:538.05pt;height:40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4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aandelenoptie is het recht om een bepaald bedrag of een bepaalde waarde van een bepaald onderliggend aandeleneffect tegen een vaste prijs (</w:t>
      </w:r>
      <w:r>
        <w:rPr xmlns:w="http://schemas.openxmlformats.org/wordprocessingml/2006/main">
          <w:rFonts w:ascii="Calibri" w:cs="Calibri" w:eastAsia="Calibri" w:hAnsi="Calibri"/>
          <w:sz w:val="22"/>
          <w:szCs w:val="22"/>
          <w:i w:val="1"/>
          <w:iCs w:val="1"/>
          <w:color w:val="auto"/>
        </w:rPr>
        <w:t xml:space="preserve">d.w.z.</w:t>
      </w:r>
      <w:r>
        <w:rPr xmlns:w="http://schemas.openxmlformats.org/wordprocessingml/2006/main">
          <w:rFonts w:ascii="Calibri" w:cs="Calibri" w:eastAsia="Calibri" w:hAnsi="Calibri"/>
          <w:sz w:val="22"/>
          <w:szCs w:val="22"/>
          <w:color w:val="auto"/>
        </w:rPr>
        <w:t xml:space="preserve"> "uitoefenprijs") te</w:t>
      </w:r>
      <w:r>
        <w:rPr xmlns:w="http://schemas.openxmlformats.org/wordprocessingml/2006/main">
          <w:rFonts w:ascii="Calibri" w:cs="Calibri" w:eastAsia="Calibri" w:hAnsi="Calibri"/>
          <w:sz w:val="22"/>
          <w:szCs w:val="22"/>
          <w:color w:val="auto"/>
        </w:rPr>
        <w:t xml:space="preserve"> kopen of verkopen</w:t>
      </w:r>
      <w:r>
        <w:rPr xmlns:w="http://schemas.openxmlformats.org/wordprocessingml/2006/main">
          <w:rFonts w:ascii="Calibri" w:cs="Calibri" w:eastAsia="Calibri" w:hAnsi="Calibri"/>
          <w:sz w:val="22"/>
          <w:szCs w:val="22"/>
          <w:color w:val="auto"/>
        </w:rPr>
        <w:t xml:space="preserve"> door de optie vóór de opgegeven vervaldatum uit te oefenen.</w:t>
      </w:r>
      <w:r>
        <w:rPr xmlns:w="http://schemas.openxmlformats.org/wordprocessingml/2006/main">
          <w:rFonts w:ascii="Calibri" w:cs="Calibri" w:eastAsia="Calibri" w:hAnsi="Calibri"/>
          <w:sz w:val="22"/>
          <w:szCs w:val="22"/>
          <w:color w:val="auto"/>
        </w:rPr>
        <w:t xml:space="preserve"> De blootstelling aan het onderliggende aandeleneffect is derhalve indirect omdat de waarde van de optie wordt afgeleid van de waarde van het onderliggende effect.</w:t>
      </w:r>
      <w:r>
        <w:rPr xmlns:w="http://schemas.openxmlformats.org/wordprocessingml/2006/main">
          <w:rFonts w:ascii="Calibri" w:cs="Calibri" w:eastAsia="Calibri" w:hAnsi="Calibri"/>
          <w:sz w:val="22"/>
          <w:szCs w:val="22"/>
          <w:color w:val="auto"/>
        </w:rPr>
        <w:t xml:space="preserve"> Vervaldata voor aandelenopties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collectieve actie met betrekking tot de onderliggende aandeleneffecten resulteren in een wijziging van de voorwaarden van de optie overeenkomstig de regels van OCC, die kunnen verschillen van de methodologie die wordt gebruikt in de Europese optiemarkten.</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ind w:right="10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te presteren volgens de voorwaarden om de onderliggende aandelenzekerheid tegen de uitoefenprijs te kopen of te verkopen.</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Standaardaandelenopties worden over het algemeen fysiek afgewikkeld, maar kunnen ook in contanten worden afgewikkeld.</w:t>
      </w:r>
      <w:r>
        <w:rPr xmlns:w="http://schemas.openxmlformats.org/wordprocessingml/2006/main">
          <w:rFonts w:ascii="Calibri" w:cs="Calibri" w:eastAsia="Calibri" w:hAnsi="Calibri"/>
          <w:sz w:val="22"/>
          <w:szCs w:val="22"/>
          <w:color w:val="auto"/>
        </w:rPr>
        <w:t xml:space="preserve"> Fysieke afwikkeling geeft de houder het recht de onderliggende aandeleneffecten bij de uitoefening te ontvangen (call) of fysiek af te leveren (put).</w:t>
      </w:r>
      <w:r>
        <w:rPr xmlns:w="http://schemas.openxmlformats.org/wordprocessingml/2006/main">
          <w:rFonts w:ascii="Calibri" w:cs="Calibri" w:eastAsia="Calibri" w:hAnsi="Calibri"/>
          <w:sz w:val="22"/>
          <w:szCs w:val="22"/>
          <w:color w:val="auto"/>
        </w:rPr>
        <w:t xml:space="preserve"> Bij afwikkeling in contanten heeft een houder het recht een contante betaling te ontvangen indien een bepaalde waarde van het onderliggende effect op het tijdstip van de uitoefening hoger (call) of lager is dan (put) de uitoefenprijs.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het onderliggende effect en zijn gevoeligheid voor prijsschommelingen (volatiliteit).</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Standaardaandelenopties zijn niet geschikt voor alle beleggers en zijn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17780</wp:posOffset>
                </wp:positionV>
                <wp:extent cx="68472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2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4pt" to="534pt,1.4pt" o:allowincell="f" strokecolor="#000000" strokeweight="0.48pt"/>
            </w:pict>
          </mc:Fallback>
        </mc:AlternateContent>
      </w:r>
    </w:p>
    <w:p>
      <w:pPr>
        <w:sectPr>
          <w:pgSz w:w="12240" w:h="15840" w:orient="portrait"/>
          <w:cols w:equalWidth="0" w:num="1">
            <w:col w:w="10560"/>
          </w:cols>
          <w:pgMar w:left="1080" w:top="699" w:right="600" w:bottom="112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4784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94588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458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40.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7464425</wp:posOffset>
                </wp:positionH>
                <wp:positionV relativeFrom="page">
                  <wp:posOffset>457200</wp:posOffset>
                </wp:positionV>
                <wp:extent cx="0" cy="894588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458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7.75pt,36pt" to="587.75pt,740.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1065530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1065530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2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40" w:right="20" w:hanging="230"/>
        <w:spacing w:after="0" w:line="228"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optieschrijver kan worden verplicht om de verplichting om het onderliggende belang te kopen of verkopen te vervullen op elk moment waarop de optie vanwege zijn stijl uitoefenbaar is.</w:t>
      </w:r>
      <w:r>
        <w:rPr xmlns:w="http://schemas.openxmlformats.org/wordprocessingml/2006/main">
          <w:rFonts w:ascii="Calibri" w:cs="Calibri" w:eastAsia="Calibri" w:hAnsi="Calibri"/>
          <w:sz w:val="22"/>
          <w:szCs w:val="22"/>
          <w:color w:val="auto"/>
        </w:rPr>
        <w:t xml:space="preserve"> Een call optie schrijver die niet de onderliggende aandelen effect (ongedekte call) bezit draagt het risico van potentieel onbeperkt verlies als de prijs van de onderliggende rente stijgt.</w:t>
      </w:r>
      <w:r>
        <w:rPr xmlns:w="http://schemas.openxmlformats.org/wordprocessingml/2006/main">
          <w:rFonts w:ascii="Calibri" w:cs="Calibri" w:eastAsia="Calibri" w:hAnsi="Calibri"/>
          <w:sz w:val="22"/>
          <w:szCs w:val="22"/>
          <w:color w:val="auto"/>
        </w:rPr>
        <w:t xml:space="preserve"> Een put-optieschrijver draagt het risico van een verlies gelijk aan het verschil tussen de put-uitoefenprijs en nul als de prijs van het onderliggende aandeleneffect daalt tot nul.</w:t>
      </w:r>
      <w:r>
        <w:rPr xmlns:w="http://schemas.openxmlformats.org/wordprocessingml/2006/main">
          <w:rFonts w:ascii="Calibri" w:cs="Calibri" w:eastAsia="Calibri" w:hAnsi="Calibri"/>
          <w:sz w:val="22"/>
          <w:szCs w:val="22"/>
          <w:color w:val="auto"/>
        </w:rPr>
        <w:t xml:space="preserve"> Schrijvers van dergelijke ongedekte oproepen en putten zijn verplicht om marge (hieronder beschreven) te plaatsen bij hun makelaar, wat extra risico's creëert.</w:t>
      </w:r>
    </w:p>
    <w:p>
      <w:pPr>
        <w:spacing w:after="0" w:line="80" w:lineRule="exact"/>
        <w:rPr>
          <w:rFonts w:ascii="Symbol" w:cs="Symbol" w:eastAsia="Symbol" w:hAnsi="Symbol"/>
          <w:sz w:val="22"/>
          <w:szCs w:val="22"/>
          <w:color w:val="auto"/>
        </w:rPr>
      </w:pPr>
    </w:p>
    <w:p>
      <w:pPr xmlns:w="http://schemas.openxmlformats.org/wordprocessingml/2006/main">
        <w:ind w:left="240" w:right="26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prijzen van onderliggende of gerelateerde belangen.</w:t>
      </w:r>
    </w:p>
    <w:p>
      <w:pPr>
        <w:spacing w:after="0" w:line="76" w:lineRule="exact"/>
        <w:rPr>
          <w:rFonts w:ascii="Symbol" w:cs="Symbol" w:eastAsia="Symbol" w:hAnsi="Symbol"/>
          <w:sz w:val="22"/>
          <w:szCs w:val="22"/>
          <w:color w:val="auto"/>
        </w:rPr>
      </w:pPr>
    </w:p>
    <w:p>
      <w:pPr xmlns:w="http://schemas.openxmlformats.org/wordprocessingml/2006/main">
        <w:ind w:left="240" w:right="360" w:hanging="230"/>
        <w:spacing w:after="0" w:line="205"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aandeleneffect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40" w:hanging="230"/>
        <w:spacing w:after="0"/>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77" w:lineRule="exact"/>
        <w:rPr>
          <w:rFonts w:ascii="Symbol" w:cs="Symbol" w:eastAsia="Symbol" w:hAnsi="Symbol"/>
          <w:sz w:val="22"/>
          <w:szCs w:val="22"/>
          <w:color w:val="auto"/>
        </w:rPr>
      </w:pPr>
    </w:p>
    <w:p>
      <w:pPr xmlns:w="http://schemas.openxmlformats.org/wordprocessingml/2006/main">
        <w:ind w:left="220" w:right="100" w:hanging="210"/>
        <w:spacing w:after="0" w:line="217" w:lineRule="auto"/>
        <w:tabs>
          <w:tab w:leader="none" w:pos="220" w:val="left"/>
        </w:tabs>
        <w:numPr>
          <w:ilvl w:val="0"/>
          <w:numId w:val="1"/>
        </w:numPr>
        <w:rPr>
          <w:rFonts w:ascii="Symbol" w:cs="Symbol" w:eastAsia="Symbol" w:hAnsi="Symbol"/>
          <w:sz w:val="16"/>
          <w:szCs w:val="16"/>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106" w:lineRule="exact"/>
        <w:rPr>
          <w:sz w:val="20"/>
          <w:szCs w:val="20"/>
          <w:color w:val="auto"/>
        </w:rPr>
      </w:pPr>
    </w:p>
    <w:p>
      <w:pPr xmlns:w="http://schemas.openxmlformats.org/wordprocessingml/2006/main">
        <w:ind w:right="38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24130</wp:posOffset>
            </wp:positionH>
            <wp:positionV relativeFrom="paragraph">
              <wp:posOffset>14605</wp:posOffset>
            </wp:positionV>
            <wp:extent cx="6750050" cy="17405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750050" cy="1740535"/>
                    </a:xfrm>
                    <a:prstGeom prst="rect">
                      <a:avLst/>
                    </a:prstGeom>
                    <a:noFill/>
                  </pic:spPr>
                </pic:pic>
              </a:graphicData>
            </a:graphic>
          </wp:anchor>
        </w:drawing>
        <w:drawing>
          <wp:anchor simplePos="0" relativeHeight="251657728" behindDoc="1" locked="0" layoutInCell="0" allowOverlap="1">
            <wp:simplePos x="0" y="0"/>
            <wp:positionH relativeFrom="column">
              <wp:posOffset>24130</wp:posOffset>
            </wp:positionH>
            <wp:positionV relativeFrom="paragraph">
              <wp:posOffset>14605</wp:posOffset>
            </wp:positionV>
            <wp:extent cx="6750050" cy="17405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750050" cy="1740535"/>
                    </a:xfrm>
                    <a:prstGeom prst="rect">
                      <a:avLst/>
                    </a:prstGeom>
                    <a:noFill/>
                  </pic:spPr>
                </pic:pic>
              </a:graphicData>
            </a:graphic>
          </wp:anchor>
        </w:drawing>
      </w:r>
    </w:p>
    <w:p>
      <w:pPr>
        <w:sectPr>
          <w:pgSz w:w="12240" w:h="15840" w:orient="portrait"/>
          <w:cols w:equalWidth="0" w:num="1">
            <w:col w:w="10560"/>
          </w:cols>
          <w:pgMar w:left="1080" w:top="706" w:right="600" w:bottom="505"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8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100" w:type="dxa"/>
            <w:vAlign w:val="bottom"/>
            <w:gridSpan w:val="4"/>
          </w:tcPr>
          <w:p>
            <w:pPr xmlns:w="http://schemas.openxmlformats.org/wordprocessingml/2006/main">
              <w:jc w:val="right"/>
              <w:ind w:right="41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schrijven van een put (Premium $ 5; Oefenprijs $ 45)</w:t>
            </w:r>
          </w:p>
        </w:tc>
        <w:tc>
          <w:tcPr>
            <w:tcW w:w="7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9"/>
        </w:trPr>
        <w:tc>
          <w:tcPr>
            <w:tcW w:w="180" w:type="dxa"/>
            <w:vAlign w:val="bottom"/>
          </w:tcPr>
          <w:p>
            <w:pPr>
              <w:spacing w:after="0"/>
              <w:rPr>
                <w:sz w:val="24"/>
                <w:szCs w:val="24"/>
                <w:color w:val="auto"/>
              </w:rPr>
            </w:pPr>
          </w:p>
        </w:tc>
        <w:tc>
          <w:tcPr>
            <w:tcW w:w="800" w:type="dxa"/>
            <w:vAlign w:val="bottom"/>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1200" w:type="dxa"/>
            <w:vAlign w:val="bottom"/>
          </w:tcPr>
          <w:p>
            <w:pPr xmlns:w="http://schemas.openxmlformats.org/wordprocessingml/2006/main">
              <w:jc w:val="right"/>
              <w:ind w:right="276"/>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980" w:type="dxa"/>
            <w:vAlign w:val="bottom"/>
          </w:tcPr>
          <w:p>
            <w:pPr xmlns:w="http://schemas.openxmlformats.org/wordprocessingml/2006/main">
              <w:jc w:val="right"/>
              <w:ind w:right="270"/>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96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960" w:type="dxa"/>
            <w:vAlign w:val="bottom"/>
          </w:tcPr>
          <w:p>
            <w:pPr xmlns:w="http://schemas.openxmlformats.org/wordprocessingml/2006/main">
              <w:jc w:val="right"/>
              <w:ind w:right="250"/>
              <w:spacing w:after="0"/>
              <w:rPr>
                <w:sz w:val="20"/>
                <w:szCs w:val="20"/>
                <w:color w:val="auto"/>
              </w:rPr>
            </w:pPr>
            <w:r>
              <w:rPr xmlns:w="http://schemas.openxmlformats.org/wordprocessingml/2006/main">
                <w:rFonts w:ascii="Calibri" w:cs="Calibri" w:eastAsia="Calibri" w:hAnsi="Calibri"/>
                <w:sz w:val="18"/>
                <w:szCs w:val="18"/>
                <w:color w:val="595959"/>
              </w:rPr>
              <w:t xml:space="preserve">$ 80</w:t>
            </w:r>
          </w:p>
        </w:tc>
        <w:tc>
          <w:tcPr>
            <w:tcW w:w="7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$ 100</w:t>
            </w: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120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98"/>
        </w:trPr>
        <w:tc>
          <w:tcPr>
            <w:tcW w:w="18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1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5"/>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1200" w:type="dxa"/>
            <w:vAlign w:val="bottom"/>
          </w:tcPr>
          <w:p>
            <w:pPr>
              <w:spacing w:after="0"/>
              <w:rPr>
                <w:sz w:val="24"/>
                <w:szCs w:val="24"/>
                <w:color w:val="auto"/>
              </w:rPr>
            </w:pPr>
          </w:p>
        </w:tc>
        <w:tc>
          <w:tcPr>
            <w:tcW w:w="98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9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6"/>
        </w:trPr>
        <w:tc>
          <w:tcPr>
            <w:tcW w:w="18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200" w:type="dxa"/>
            <w:vAlign w:val="bottom"/>
          </w:tcPr>
          <w:p>
            <w:pPr>
              <w:spacing w:after="0"/>
              <w:rPr>
                <w:sz w:val="2"/>
                <w:szCs w:val="2"/>
                <w:color w:val="auto"/>
              </w:rPr>
            </w:pPr>
          </w:p>
        </w:tc>
        <w:tc>
          <w:tcPr>
            <w:tcW w:w="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7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2"/>
        </w:trPr>
        <w:tc>
          <w:tcPr>
            <w:tcW w:w="180" w:type="dxa"/>
            <w:vAlign w:val="bottom"/>
          </w:tcPr>
          <w:p>
            <w:pPr>
              <w:spacing w:after="0"/>
              <w:rPr>
                <w:sz w:val="23"/>
                <w:szCs w:val="23"/>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1200" w:type="dxa"/>
            <w:vAlign w:val="bottom"/>
          </w:tcPr>
          <w:p>
            <w:pPr>
              <w:spacing w:after="0"/>
              <w:rPr>
                <w:sz w:val="23"/>
                <w:szCs w:val="23"/>
                <w:color w:val="auto"/>
              </w:rPr>
            </w:pPr>
          </w:p>
        </w:tc>
        <w:tc>
          <w:tcPr>
            <w:tcW w:w="98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960" w:type="dxa"/>
            <w:vAlign w:val="bottom"/>
          </w:tcPr>
          <w:p>
            <w:pPr>
              <w:spacing w:after="0"/>
              <w:rPr>
                <w:sz w:val="23"/>
                <w:szCs w:val="23"/>
                <w:color w:val="auto"/>
              </w:rPr>
            </w:pPr>
          </w:p>
        </w:tc>
        <w:tc>
          <w:tcPr>
            <w:tcW w:w="70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95"/>
        </w:trPr>
        <w:tc>
          <w:tcPr>
            <w:tcW w:w="18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-$ 30</w:t>
            </w:r>
          </w:p>
        </w:tc>
        <w:tc>
          <w:tcPr>
            <w:tcW w:w="3140" w:type="dxa"/>
            <w:vAlign w:val="bottom"/>
            <w:gridSpan w:val="3"/>
            <w:vMerge w:val="restart"/>
          </w:tcPr>
          <w:p>
            <w:pPr xmlns:w="http://schemas.openxmlformats.org/wordprocessingml/2006/main">
              <w:jc w:val="right"/>
              <w:ind w:right="53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tc>
        <w:tc>
          <w:tcPr>
            <w:tcW w:w="9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47"/>
        </w:trPr>
        <w:tc>
          <w:tcPr>
            <w:tcW w:w="180" w:type="dxa"/>
            <w:vAlign w:val="bottom"/>
          </w:tcPr>
          <w:p>
            <w:pPr>
              <w:spacing w:after="0"/>
              <w:rPr>
                <w:sz w:val="12"/>
                <w:szCs w:val="12"/>
                <w:color w:val="auto"/>
              </w:rPr>
            </w:pPr>
          </w:p>
        </w:tc>
        <w:tc>
          <w:tcPr>
            <w:tcW w:w="800" w:type="dxa"/>
            <w:vAlign w:val="bottom"/>
          </w:tcPr>
          <w:p>
            <w:pPr>
              <w:spacing w:after="0"/>
              <w:rPr>
                <w:sz w:val="12"/>
                <w:szCs w:val="12"/>
                <w:color w:val="auto"/>
              </w:rPr>
            </w:pPr>
          </w:p>
        </w:tc>
        <w:tc>
          <w:tcPr>
            <w:tcW w:w="3140" w:type="dxa"/>
            <w:vAlign w:val="bottom"/>
            <w:gridSpan w:val="3"/>
            <w:vMerge w:val="continue"/>
          </w:tcPr>
          <w:p>
            <w:pPr>
              <w:spacing w:after="0"/>
              <w:rPr>
                <w:sz w:val="12"/>
                <w:szCs w:val="12"/>
                <w:color w:val="auto"/>
              </w:rPr>
            </w:pPr>
          </w:p>
        </w:tc>
        <w:tc>
          <w:tcPr>
            <w:tcW w:w="9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onderliggende marktbeweging</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FF0000"/>
        </w:rPr>
        <w:t xml:space="preserve">rood plotpunt</w:t>
      </w:r>
      <w:r>
        <w:rPr xmlns:w="http://schemas.openxmlformats.org/wordprocessingml/2006/main">
          <w:rFonts w:ascii="Calibri" w:cs="Calibri" w:eastAsia="Calibri" w:hAnsi="Calibri"/>
          <w:sz w:val="17"/>
          <w:szCs w:val="17"/>
          <w:u w:val="single" w:color="auto"/>
          <w:color w:val="auto"/>
        </w:rPr>
        <w:t xml:space="preserve">)</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Marktprijs: $15</w:t>
      </w:r>
    </w:p>
    <w:p>
      <w:pPr xmlns:w="http://schemas.openxmlformats.org/wordprocessingml/2006/main">
        <w:ind w:left="300" w:hanging="153"/>
        <w:spacing w:after="0" w:line="238" w:lineRule="auto"/>
        <w:tabs>
          <w:tab w:leader="none" w:pos="300" w:val="left"/>
        </w:tabs>
        <w:numPr>
          <w:ilvl w:val="0"/>
          <w:numId w:val="2"/>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Ongunstig voor de schrijver - $ 25</w:t>
      </w:r>
    </w:p>
    <w:p>
      <w:pPr xmlns:w="http://schemas.openxmlformats.org/wordprocessingml/2006/main">
        <w:ind w:left="140"/>
        <w:spacing w:after="0" w:line="199" w:lineRule="auto"/>
        <w:tabs>
          <w:tab w:leader="none" w:pos="190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Gunstig voor de houder</w:t>
        <w:tab xmlns:w="http://schemas.openxmlformats.org/wordprocessingml/2006/main"/>
      </w:r>
      <w:r>
        <w:rPr xmlns:w="http://schemas.openxmlformats.org/wordprocessingml/2006/main">
          <w:rFonts w:ascii="Calibri" w:cs="Calibri" w:eastAsia="Calibri" w:hAnsi="Calibri"/>
          <w:sz w:val="18"/>
          <w:szCs w:val="18"/>
          <w:color w:val="auto"/>
        </w:rPr>
        <w:t xml:space="preserve">+$ 25</w:t>
      </w:r>
    </w:p>
    <w:p>
      <w:pPr>
        <w:spacing w:after="0" w:line="11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onderliggende marktbeweging</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00B050"/>
        </w:rPr>
        <w:t xml:space="preserve">groen plotpunt</w:t>
      </w:r>
      <w:r>
        <w:rPr xmlns:w="http://schemas.openxmlformats.org/wordprocessingml/2006/main">
          <w:rFonts w:ascii="Calibri" w:cs="Calibri" w:eastAsia="Calibri" w:hAnsi="Calibri"/>
          <w:sz w:val="17"/>
          <w:szCs w:val="17"/>
          <w:u w:val="single" w:color="auto"/>
          <w:color w:val="auto"/>
        </w:rPr>
        <w:t xml:space="preserve">)</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Marktprijs: $35</w:t>
      </w:r>
    </w:p>
    <w:p>
      <w:pPr xmlns:w="http://schemas.openxmlformats.org/wordprocessingml/2006/main">
        <w:ind w:left="300" w:hanging="153"/>
        <w:spacing w:after="0" w:line="238" w:lineRule="auto"/>
        <w:tabs>
          <w:tab w:leader="none" w:pos="300" w:val="left"/>
        </w:tabs>
        <w:numPr>
          <w:ilvl w:val="0"/>
          <w:numId w:val="3"/>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Ongunstig voor de schrijver - $ 5</w:t>
      </w:r>
    </w:p>
    <w:p>
      <w:pPr xmlns:w="http://schemas.openxmlformats.org/wordprocessingml/2006/main">
        <w:ind w:left="140"/>
        <w:spacing w:after="0" w:line="199" w:lineRule="auto"/>
        <w:tabs>
          <w:tab w:leader="none" w:pos="194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Gunstig voor de houder</w:t>
        <w:tab xmlns:w="http://schemas.openxmlformats.org/wordprocessingml/2006/main"/>
      </w:r>
      <w:r>
        <w:rPr xmlns:w="http://schemas.openxmlformats.org/wordprocessingml/2006/main">
          <w:rFonts w:ascii="Calibri" w:cs="Calibri" w:eastAsia="Calibri" w:hAnsi="Calibri"/>
          <w:sz w:val="18"/>
          <w:szCs w:val="18"/>
          <w:color w:val="auto"/>
        </w:rPr>
        <w:t xml:space="preserve">+$ 5</w:t>
      </w:r>
    </w:p>
    <w:p>
      <w:pPr>
        <w:spacing w:after="0" w:line="32" w:lineRule="exact"/>
        <w:rPr>
          <w:sz w:val="20"/>
          <w:szCs w:val="20"/>
          <w:color w:val="auto"/>
        </w:rPr>
      </w:pPr>
    </w:p>
    <w:p>
      <w:pPr xmlns:w="http://schemas.openxmlformats.org/wordprocessingml/2006/main">
        <w:ind w:right="16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minus de premie.</w:t>
      </w:r>
    </w:p>
    <w:p>
      <w:pPr>
        <w:spacing w:after="0" w:line="200" w:lineRule="exact"/>
        <w:rPr>
          <w:sz w:val="20"/>
          <w:szCs w:val="20"/>
          <w:color w:val="auto"/>
        </w:rPr>
      </w:pPr>
    </w:p>
    <w:p>
      <w:pPr>
        <w:sectPr>
          <w:pgSz w:w="12240" w:h="15840" w:orient="portrait"/>
          <w:cols w:equalWidth="0" w:num="2">
            <w:col w:w="6200" w:space="440"/>
            <w:col w:w="3920"/>
          </w:cols>
          <w:pgMar w:left="1080" w:top="706" w:right="600" w:bottom="505" w:gutter="0" w:footer="0" w:header="0"/>
          <w:type w:val="continuous"/>
        </w:sectPr>
      </w:pPr>
    </w:p>
    <w:p>
      <w:pPr>
        <w:spacing w:after="0" w:line="275" w:lineRule="exact"/>
        <w:rPr>
          <w:sz w:val="20"/>
          <w:szCs w:val="20"/>
          <w:color w:val="auto"/>
        </w:r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mogelijk niet alle kosten die 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20320</wp:posOffset>
                </wp:positionV>
                <wp:extent cx="684720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2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6pt" to="534pt,1.6pt" o:allowincell="f" strokecolor="#000000" strokeweight="0.48pt"/>
            </w:pict>
          </mc:Fallback>
        </mc:AlternateContent>
      </w:r>
    </w:p>
    <w:p>
      <w:pPr>
        <w:sectPr>
          <w:pgSz w:w="12240" w:h="15840" w:orient="portrait"/>
          <w:cols w:equalWidth="0" w:num="1">
            <w:col w:w="10560"/>
          </w:cols>
          <w:pgMar w:left="1080" w:top="706" w:right="600" w:bottom="505" w:gutter="0" w:footer="0" w:header="0"/>
          <w:type w:val="continuous"/>
        </w:sectPr>
      </w:pPr>
    </w:p>
    <w:bookmarkStart w:id="2" w:name="page3"/>
    <w:bookmarkEnd w:id="2"/>
    <w:p>
      <w:pPr xmlns:w="http://schemas.openxmlformats.org/wordprocessingml/2006/main">
        <w:ind w:left="220" w:right="1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4784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8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807085</wp:posOffset>
                </wp:positionV>
                <wp:extent cx="684784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3.55pt" to="588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6447790</wp:posOffset>
                </wp:positionV>
                <wp:extent cx="684784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507.7pt" to="588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7988300</wp:posOffset>
                </wp:positionV>
                <wp:extent cx="684784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29pt" to="588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73506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350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2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7464425</wp:posOffset>
                </wp:positionH>
                <wp:positionV relativeFrom="page">
                  <wp:posOffset>457200</wp:posOffset>
                </wp:positionV>
                <wp:extent cx="0" cy="873506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350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7.75pt,36pt" to="587.75pt,72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Betaal aan uw adviseur of distributeur en houd geen rekening met uw persoonlijke belastingsituatie, die ook van invloed kan zijn op hoeveel u ontvangt.</w:t>
      </w:r>
    </w:p>
    <w:p>
      <w:pPr>
        <w:spacing w:after="0" w:line="77" w:lineRule="exact"/>
        <w:rPr>
          <w:sz w:val="20"/>
          <w:szCs w:val="20"/>
          <w:color w:val="auto"/>
        </w:rPr>
      </w:pPr>
    </w:p>
    <w:p>
      <w:pPr xmlns:w="http://schemas.openxmlformats.org/wordprocessingml/2006/main">
        <w:ind w:left="220" w:right="20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6"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100" w:type="dxa"/>
            <w:vAlign w:val="bottom"/>
            <w:tcBorders>
              <w:top w:val="single" w:sz="8" w:color="auto"/>
            </w:tcBorders>
          </w:tcPr>
          <w:p>
            <w:pPr>
              <w:spacing w:after="0"/>
              <w:rPr>
                <w:sz w:val="24"/>
                <w:szCs w:val="24"/>
                <w:color w:val="auto"/>
              </w:rPr>
            </w:pPr>
          </w:p>
        </w:tc>
        <w:tc>
          <w:tcPr>
            <w:tcW w:w="5360" w:type="dxa"/>
            <w:vAlign w:val="bottom"/>
            <w:tcBorders>
              <w:top w:val="single" w:sz="8" w:color="auto"/>
              <w:right w:val="single" w:sz="8" w:color="auto"/>
            </w:tcBorders>
            <w:gridSpan w:val="2"/>
          </w:tcPr>
          <w:p>
            <w:pPr xmlns:w="http://schemas.openxmlformats.org/wordprocessingml/2006/main">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6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 dan is dit</w:t>
            </w: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informatie geven over deze</w:t>
            </w: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100" w:type="dxa"/>
            <w:vAlign w:val="bottom"/>
          </w:tcPr>
          <w:p>
            <w:pPr>
              <w:spacing w:after="0"/>
              <w:rPr>
                <w:sz w:val="20"/>
                <w:szCs w:val="20"/>
                <w:color w:val="auto"/>
              </w:rPr>
            </w:pPr>
          </w:p>
        </w:tc>
        <w:tc>
          <w:tcPr>
            <w:tcW w:w="5360" w:type="dxa"/>
            <w:vAlign w:val="bottom"/>
            <w:gridSpan w:val="2"/>
          </w:tcPr>
          <w:p>
            <w:pPr xmlns:w="http://schemas.openxmlformats.org/wordprocessingml/2006/main">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kosten en hoe deze uw investering beïnvloeden.</w:t>
            </w:r>
            <w:r>
              <w:rPr xmlns:w="http://schemas.openxmlformats.org/wordprocessingml/2006/main">
                <w:rFonts w:ascii="Calibri" w:cs="Calibri" w:eastAsia="Calibri" w:hAnsi="Calibri"/>
                <w:sz w:val="22"/>
                <w:szCs w:val="22"/>
                <w:color w:val="auto"/>
              </w:rPr>
              <w:t xml:space="preserve"> samenvoegen</w:t>
            </w:r>
          </w:p>
        </w:tc>
        <w:tc>
          <w:tcPr>
            <w:tcW w:w="8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6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Kosten voor gestandaardiseerde aandelenopties zijn afhankelijk van meerdere</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8"/>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560" w:type="dxa"/>
            <w:vAlign w:val="bottom"/>
            <w:tcBorders>
              <w:top w:val="single" w:sz="8" w:color="auto"/>
              <w:bottom w:val="single" w:sz="8" w:color="auto"/>
            </w:tcBorders>
            <w:shd w:val="clear" w:color="auto" w:fill="DADADA"/>
          </w:tcPr>
          <w:p>
            <w:pPr>
              <w:spacing w:after="0"/>
              <w:rPr>
                <w:sz w:val="21"/>
                <w:szCs w:val="21"/>
                <w:color w:val="auto"/>
              </w:rPr>
            </w:pPr>
          </w:p>
        </w:tc>
        <w:tc>
          <w:tcPr>
            <w:tcW w:w="86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factoren.</w:t>
            </w:r>
            <w:r>
              <w:rPr xmlns:w="http://schemas.openxmlformats.org/wordprocessingml/2006/main">
                <w:rFonts w:ascii="Calibri" w:cs="Calibri" w:eastAsia="Calibri" w:hAnsi="Calibri"/>
                <w:sz w:val="22"/>
                <w:szCs w:val="22"/>
                <w:color w:val="auto"/>
              </w:rPr>
              <w:t xml:space="preserve"> Een optiepremie is de prijs die de</w:t>
            </w:r>
          </w:p>
        </w:tc>
        <w:tc>
          <w:tcPr>
            <w:tcW w:w="8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100" w:type="dxa"/>
            <w:vAlign w:val="bottom"/>
          </w:tcPr>
          <w:p>
            <w:pPr>
              <w:spacing w:after="0"/>
              <w:rPr>
                <w:sz w:val="20"/>
                <w:szCs w:val="20"/>
                <w:color w:val="auto"/>
              </w:rPr>
            </w:pPr>
          </w:p>
        </w:tc>
        <w:tc>
          <w:tcPr>
            <w:tcW w:w="5360" w:type="dxa"/>
            <w:vAlign w:val="bottom"/>
            <w:tcBorders>
              <w:right w:val="single" w:sz="8" w:color="auto"/>
            </w:tcBorders>
            <w:gridSpan w:val="2"/>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houder van de schrijver.</w:t>
            </w:r>
            <w:r>
              <w:rPr xmlns:w="http://schemas.openxmlformats.org/wordprocessingml/2006/main">
                <w:rFonts w:ascii="Calibri" w:cs="Calibri" w:eastAsia="Calibri" w:hAnsi="Calibri"/>
                <w:sz w:val="22"/>
                <w:szCs w:val="22"/>
                <w:color w:val="auto"/>
              </w:rPr>
              <w:t xml:space="preserve"> Factoren die een significant effect hebben op</w:t>
            </w:r>
          </w:p>
        </w:tc>
        <w:tc>
          <w:tcPr>
            <w:tcW w:w="8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42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0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86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100" w:type="dxa"/>
            <w:vAlign w:val="bottom"/>
          </w:tcPr>
          <w:p>
            <w:pPr>
              <w:spacing w:after="0"/>
              <w:rPr>
                <w:sz w:val="15"/>
                <w:szCs w:val="15"/>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De premie omvat, maar is niet beperkt tot, de</w:t>
            </w:r>
          </w:p>
        </w:tc>
        <w:tc>
          <w:tcPr>
            <w:tcW w:w="80" w:type="dxa"/>
            <w:vAlign w:val="bottom"/>
          </w:tcPr>
          <w:p>
            <w:pPr>
              <w:spacing w:after="0"/>
              <w:rPr>
                <w:sz w:val="15"/>
                <w:szCs w:val="15"/>
                <w:color w:val="auto"/>
              </w:rPr>
            </w:pPr>
          </w:p>
        </w:tc>
        <w:tc>
          <w:tcPr>
            <w:tcW w:w="1440" w:type="dxa"/>
            <w:vAlign w:val="bottom"/>
            <w:tcBorders>
              <w:right w:val="single" w:sz="8" w:color="auto"/>
            </w:tcBorders>
            <w:gridSpan w:val="2"/>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100" w:type="dxa"/>
            <w:vAlign w:val="bottom"/>
          </w:tcPr>
          <w:p>
            <w:pPr>
              <w:spacing w:after="0"/>
              <w:rPr>
                <w:sz w:val="15"/>
                <w:szCs w:val="15"/>
                <w:color w:val="auto"/>
              </w:rPr>
            </w:pPr>
          </w:p>
        </w:tc>
        <w:tc>
          <w:tcPr>
            <w:tcW w:w="206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0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86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5"/>
        </w:trPr>
        <w:tc>
          <w:tcPr>
            <w:tcW w:w="100" w:type="dxa"/>
            <w:vAlign w:val="bottom"/>
          </w:tcPr>
          <w:p>
            <w:pPr>
              <w:spacing w:after="0"/>
              <w:rPr>
                <w:sz w:val="7"/>
                <w:szCs w:val="7"/>
                <w:color w:val="auto"/>
              </w:rPr>
            </w:pPr>
          </w:p>
        </w:tc>
        <w:tc>
          <w:tcPr>
            <w:tcW w:w="5360" w:type="dxa"/>
            <w:vAlign w:val="bottom"/>
            <w:tcBorders>
              <w:right w:val="single" w:sz="8" w:color="auto"/>
            </w:tcBorders>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00" w:type="dxa"/>
            <w:vAlign w:val="bottom"/>
          </w:tcPr>
          <w:p>
            <w:pPr>
              <w:spacing w:after="0"/>
              <w:rPr>
                <w:sz w:val="7"/>
                <w:szCs w:val="7"/>
                <w:color w:val="auto"/>
              </w:rPr>
            </w:pPr>
          </w:p>
        </w:tc>
        <w:tc>
          <w:tcPr>
            <w:tcW w:w="560" w:type="dxa"/>
            <w:vAlign w:val="bottom"/>
          </w:tcPr>
          <w:p>
            <w:pPr>
              <w:spacing w:after="0"/>
              <w:rPr>
                <w:sz w:val="7"/>
                <w:szCs w:val="7"/>
                <w:color w:val="auto"/>
              </w:rPr>
            </w:pPr>
          </w:p>
        </w:tc>
        <w:tc>
          <w:tcPr>
            <w:tcW w:w="86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100" w:type="dxa"/>
            <w:vAlign w:val="bottom"/>
          </w:tcPr>
          <w:p>
            <w:pPr>
              <w:spacing w:after="0"/>
              <w:rPr>
                <w:sz w:val="11"/>
                <w:szCs w:val="11"/>
                <w:color w:val="auto"/>
              </w:rPr>
            </w:pPr>
          </w:p>
        </w:tc>
        <w:tc>
          <w:tcPr>
            <w:tcW w:w="5360" w:type="dxa"/>
            <w:vAlign w:val="bottom"/>
            <w:tcBorders>
              <w:right w:val="single" w:sz="8" w:color="auto"/>
            </w:tcBorders>
            <w:gridSpan w:val="2"/>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onderliggende waarde van het eigen vermogen, tijd tot het verstrijken van de</w:t>
            </w:r>
          </w:p>
        </w:tc>
        <w:tc>
          <w:tcPr>
            <w:tcW w:w="80" w:type="dxa"/>
            <w:vAlign w:val="bottom"/>
          </w:tcPr>
          <w:p>
            <w:pPr>
              <w:spacing w:after="0"/>
              <w:rPr>
                <w:sz w:val="11"/>
                <w:szCs w:val="11"/>
                <w:color w:val="auto"/>
              </w:rPr>
            </w:pPr>
          </w:p>
        </w:tc>
        <w:tc>
          <w:tcPr>
            <w:tcW w:w="1440" w:type="dxa"/>
            <w:vAlign w:val="bottom"/>
            <w:tcBorders>
              <w:right w:val="single" w:sz="8" w:color="auto"/>
            </w:tcBorders>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6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100" w:type="dxa"/>
            <w:vAlign w:val="bottom"/>
          </w:tcPr>
          <w:p>
            <w:pPr>
              <w:spacing w:after="0"/>
              <w:rPr>
                <w:sz w:val="11"/>
                <w:szCs w:val="11"/>
                <w:color w:val="auto"/>
              </w:rPr>
            </w:pPr>
          </w:p>
        </w:tc>
        <w:tc>
          <w:tcPr>
            <w:tcW w:w="5360" w:type="dxa"/>
            <w:vAlign w:val="bottom"/>
            <w:tcBorders>
              <w:right w:val="single" w:sz="8" w:color="auto"/>
            </w:tcBorders>
            <w:gridSpan w:val="2"/>
            <w:vMerge w:val="continue"/>
          </w:tcPr>
          <w:p>
            <w:pPr>
              <w:spacing w:after="0"/>
              <w:rPr>
                <w:sz w:val="11"/>
                <w:szCs w:val="11"/>
                <w:color w:val="auto"/>
              </w:rPr>
            </w:pPr>
          </w:p>
        </w:tc>
        <w:tc>
          <w:tcPr>
            <w:tcW w:w="80" w:type="dxa"/>
            <w:vAlign w:val="bottom"/>
          </w:tcPr>
          <w:p>
            <w:pPr>
              <w:spacing w:after="0"/>
              <w:rPr>
                <w:sz w:val="11"/>
                <w:szCs w:val="11"/>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00" w:type="dxa"/>
            <w:vAlign w:val="bottom"/>
          </w:tcPr>
          <w:p>
            <w:pPr>
              <w:spacing w:after="0"/>
              <w:rPr>
                <w:sz w:val="11"/>
                <w:szCs w:val="11"/>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100" w:type="dxa"/>
            <w:vAlign w:val="bottom"/>
          </w:tcPr>
          <w:p>
            <w:pPr>
              <w:spacing w:after="0"/>
              <w:rPr>
                <w:sz w:val="9"/>
                <w:szCs w:val="9"/>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optie en uitoefenprijs.</w:t>
            </w:r>
            <w:r>
              <w:rPr xmlns:w="http://schemas.openxmlformats.org/wordprocessingml/2006/main">
                <w:rFonts w:ascii="Calibri" w:cs="Calibri" w:eastAsia="Calibri" w:hAnsi="Calibri"/>
                <w:sz w:val="22"/>
                <w:szCs w:val="22"/>
                <w:color w:val="auto"/>
              </w:rPr>
              <w:t xml:space="preserve"> Opties beleggen omvat</w:t>
            </w:r>
          </w:p>
        </w:tc>
        <w:tc>
          <w:tcPr>
            <w:tcW w:w="80" w:type="dxa"/>
            <w:vAlign w:val="bottom"/>
            <w:tcBorders>
              <w:bottom w:val="single" w:sz="8" w:color="auto"/>
            </w:tcBorders>
          </w:tcPr>
          <w:p>
            <w:pPr>
              <w:spacing w:after="0"/>
              <w:rPr>
                <w:sz w:val="9"/>
                <w:szCs w:val="9"/>
                <w:color w:val="auto"/>
              </w:rPr>
            </w:pPr>
          </w:p>
        </w:tc>
        <w:tc>
          <w:tcPr>
            <w:tcW w:w="1440" w:type="dxa"/>
            <w:vAlign w:val="bottom"/>
            <w:tcBorders>
              <w:bottom w:val="single" w:sz="8" w:color="auto"/>
              <w:right w:val="single" w:sz="8" w:color="auto"/>
            </w:tcBorders>
            <w:gridSpan w:val="2"/>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060" w:type="dxa"/>
            <w:vAlign w:val="bottom"/>
            <w:tcBorders>
              <w:bottom w:val="single" w:sz="8" w:color="auto"/>
              <w:right w:val="single" w:sz="8" w:color="auto"/>
            </w:tcBorders>
            <w:gridSpan w:val="5"/>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100" w:type="dxa"/>
            <w:vAlign w:val="bottom"/>
          </w:tcPr>
          <w:p>
            <w:pPr>
              <w:spacing w:after="0"/>
              <w:rPr>
                <w:sz w:val="12"/>
                <w:szCs w:val="12"/>
                <w:color w:val="auto"/>
              </w:rPr>
            </w:pPr>
          </w:p>
        </w:tc>
        <w:tc>
          <w:tcPr>
            <w:tcW w:w="5360" w:type="dxa"/>
            <w:vAlign w:val="bottom"/>
            <w:tcBorders>
              <w:right w:val="single" w:sz="8" w:color="auto"/>
            </w:tcBorders>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gridSpan w:val="2"/>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100" w:type="dxa"/>
            <w:vAlign w:val="bottom"/>
          </w:tcPr>
          <w:p>
            <w:pPr>
              <w:spacing w:after="0"/>
              <w:rPr>
                <w:sz w:val="5"/>
                <w:szCs w:val="5"/>
                <w:color w:val="auto"/>
              </w:rPr>
            </w:pPr>
          </w:p>
        </w:tc>
        <w:tc>
          <w:tcPr>
            <w:tcW w:w="2640" w:type="dxa"/>
            <w:vAlign w:val="bottom"/>
          </w:tcPr>
          <w:p>
            <w:pPr>
              <w:spacing w:after="0"/>
              <w:rPr>
                <w:sz w:val="5"/>
                <w:szCs w:val="5"/>
                <w:color w:val="auto"/>
              </w:rPr>
            </w:pPr>
          </w:p>
        </w:tc>
        <w:tc>
          <w:tcPr>
            <w:tcW w:w="27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560" w:type="dxa"/>
            <w:vAlign w:val="bottom"/>
          </w:tcPr>
          <w:p>
            <w:pPr>
              <w:spacing w:after="0"/>
              <w:rPr>
                <w:sz w:val="5"/>
                <w:szCs w:val="5"/>
                <w:color w:val="auto"/>
              </w:rPr>
            </w:pPr>
          </w:p>
        </w:tc>
        <w:tc>
          <w:tcPr>
            <w:tcW w:w="86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100" w:type="dxa"/>
            <w:vAlign w:val="bottom"/>
          </w:tcPr>
          <w:p>
            <w:pPr>
              <w:spacing w:after="0"/>
              <w:rPr>
                <w:sz w:val="19"/>
                <w:szCs w:val="19"/>
                <w:color w:val="auto"/>
              </w:rPr>
            </w:pPr>
          </w:p>
        </w:tc>
        <w:tc>
          <w:tcPr>
            <w:tcW w:w="5360" w:type="dxa"/>
            <w:vAlign w:val="bottom"/>
            <w:tcBorders>
              <w:right w:val="single" w:sz="8" w:color="auto"/>
            </w:tcBorders>
            <w:gridSpan w:val="2"/>
          </w:tcPr>
          <w:p>
            <w:pPr xmlns:w="http://schemas.openxmlformats.org/wordprocessingml/2006/main">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extra kosten die fiscale overwegingen omvatten,</w:t>
            </w:r>
          </w:p>
        </w:tc>
        <w:tc>
          <w:tcPr>
            <w:tcW w:w="80" w:type="dxa"/>
            <w:vAlign w:val="bottom"/>
          </w:tcPr>
          <w:p>
            <w:pPr>
              <w:spacing w:after="0"/>
              <w:rPr>
                <w:sz w:val="19"/>
                <w:szCs w:val="19"/>
                <w:color w:val="auto"/>
              </w:rPr>
            </w:pPr>
          </w:p>
        </w:tc>
        <w:tc>
          <w:tcPr>
            <w:tcW w:w="1440" w:type="dxa"/>
            <w:vAlign w:val="bottom"/>
            <w:tcBorders>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6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100" w:type="dxa"/>
            <w:vAlign w:val="bottom"/>
          </w:tcPr>
          <w:p>
            <w:pPr>
              <w:spacing w:after="0"/>
              <w:rPr>
                <w:sz w:val="20"/>
                <w:szCs w:val="20"/>
                <w:color w:val="auto"/>
              </w:rPr>
            </w:pPr>
          </w:p>
        </w:tc>
        <w:tc>
          <w:tcPr>
            <w:tcW w:w="5360" w:type="dxa"/>
            <w:vAlign w:val="bottom"/>
            <w:tcBorders>
              <w:right w:val="single" w:sz="8" w:color="auto"/>
            </w:tcBorders>
            <w:gridSpan w:val="2"/>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transactiekosten en margevereisten die</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100" w:type="dxa"/>
            <w:vAlign w:val="bottom"/>
          </w:tcPr>
          <w:p>
            <w:pPr>
              <w:spacing w:after="0"/>
              <w:rPr>
                <w:sz w:val="17"/>
                <w:szCs w:val="17"/>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aanzienlijk van invloed zijn op de winst of het verlies.</w:t>
            </w:r>
            <w:r>
              <w:rPr xmlns:w="http://schemas.openxmlformats.org/wordprocessingml/2006/main">
                <w:rFonts w:ascii="Calibri" w:cs="Calibri" w:eastAsia="Calibri" w:hAnsi="Calibri"/>
                <w:sz w:val="22"/>
                <w:szCs w:val="22"/>
                <w:color w:val="auto"/>
              </w:rPr>
              <w:t xml:space="preserve"> Transactiekosten bestaan uit</w:t>
            </w:r>
          </w:p>
        </w:tc>
        <w:tc>
          <w:tcPr>
            <w:tcW w:w="80" w:type="dxa"/>
            <w:vAlign w:val="bottom"/>
            <w:shd w:val="clear" w:color="auto" w:fill="DADADA"/>
          </w:tcPr>
          <w:p>
            <w:pPr>
              <w:spacing w:after="0"/>
              <w:rPr>
                <w:sz w:val="17"/>
                <w:szCs w:val="17"/>
                <w:color w:val="auto"/>
              </w:rPr>
            </w:pPr>
          </w:p>
        </w:tc>
        <w:tc>
          <w:tcPr>
            <w:tcW w:w="1020" w:type="dxa"/>
            <w:vAlign w:val="bottom"/>
            <w:shd w:val="clear" w:color="auto" w:fill="DADADA"/>
          </w:tcPr>
          <w:p>
            <w:pPr>
              <w:spacing w:after="0"/>
              <w:rPr>
                <w:sz w:val="17"/>
                <w:szCs w:val="17"/>
                <w:color w:val="auto"/>
              </w:rPr>
            </w:pPr>
          </w:p>
        </w:tc>
        <w:tc>
          <w:tcPr>
            <w:tcW w:w="42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20" w:type="dxa"/>
            <w:vAlign w:val="bottom"/>
            <w:tcBorders>
              <w:right w:val="single" w:sz="8" w:color="auto"/>
            </w:tcBorders>
            <w:gridSpan w:val="2"/>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100" w:type="dxa"/>
            <w:vAlign w:val="bottom"/>
          </w:tcPr>
          <w:p>
            <w:pPr>
              <w:spacing w:after="0"/>
              <w:rPr>
                <w:sz w:val="5"/>
                <w:szCs w:val="5"/>
                <w:color w:val="auto"/>
              </w:rPr>
            </w:pPr>
          </w:p>
        </w:tc>
        <w:tc>
          <w:tcPr>
            <w:tcW w:w="5360" w:type="dxa"/>
            <w:vAlign w:val="bottom"/>
            <w:tcBorders>
              <w:right w:val="single" w:sz="8" w:color="auto"/>
            </w:tcBorders>
            <w:gridSpan w:val="2"/>
            <w:vMerge w:val="continue"/>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DADADA"/>
            </w:tcBorders>
            <w:gridSpan w:val="2"/>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10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6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auto"/>
            </w:tcBorders>
            <w:gridSpan w:val="2"/>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100" w:type="dxa"/>
            <w:vAlign w:val="bottom"/>
          </w:tcPr>
          <w:p>
            <w:pPr>
              <w:spacing w:after="0"/>
              <w:rPr>
                <w:sz w:val="14"/>
                <w:szCs w:val="14"/>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voornamelijk van commissies (die bij de opening worden opgelegd),</w:t>
            </w: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gridSpan w:val="2"/>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6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gridSpan w:val="2"/>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100" w:type="dxa"/>
            <w:vAlign w:val="bottom"/>
          </w:tcPr>
          <w:p>
            <w:pPr>
              <w:spacing w:after="0"/>
              <w:rPr>
                <w:sz w:val="7"/>
                <w:szCs w:val="7"/>
                <w:color w:val="auto"/>
              </w:rPr>
            </w:pPr>
          </w:p>
        </w:tc>
        <w:tc>
          <w:tcPr>
            <w:tcW w:w="5360" w:type="dxa"/>
            <w:vAlign w:val="bottom"/>
            <w:tcBorders>
              <w:right w:val="single" w:sz="8" w:color="auto"/>
            </w:tcBorders>
            <w:gridSpan w:val="2"/>
            <w:vMerge w:val="continue"/>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gridSpan w:val="2"/>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6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560" w:type="dxa"/>
            <w:vAlign w:val="bottom"/>
          </w:tcPr>
          <w:p>
            <w:pPr>
              <w:spacing w:after="0"/>
              <w:rPr>
                <w:sz w:val="7"/>
                <w:szCs w:val="7"/>
                <w:color w:val="auto"/>
              </w:rPr>
            </w:pPr>
          </w:p>
        </w:tc>
        <w:tc>
          <w:tcPr>
            <w:tcW w:w="86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100" w:type="dxa"/>
            <w:vAlign w:val="bottom"/>
          </w:tcPr>
          <w:p>
            <w:pPr>
              <w:spacing w:after="0"/>
              <w:rPr>
                <w:sz w:val="10"/>
                <w:szCs w:val="10"/>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sluiten, uitoefenen en toewijzingstransacties), maar kan</w:t>
            </w:r>
          </w:p>
        </w:tc>
        <w:tc>
          <w:tcPr>
            <w:tcW w:w="80" w:type="dxa"/>
            <w:vAlign w:val="bottom"/>
          </w:tcPr>
          <w:p>
            <w:pPr>
              <w:spacing w:after="0"/>
              <w:rPr>
                <w:sz w:val="10"/>
                <w:szCs w:val="10"/>
                <w:color w:val="auto"/>
              </w:rPr>
            </w:pPr>
          </w:p>
        </w:tc>
        <w:tc>
          <w:tcPr>
            <w:tcW w:w="1440" w:type="dxa"/>
            <w:vAlign w:val="bottom"/>
            <w:tcBorders>
              <w:right w:val="single" w:sz="8" w:color="auto"/>
            </w:tcBorders>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86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100" w:type="dxa"/>
            <w:vAlign w:val="bottom"/>
          </w:tcPr>
          <w:p>
            <w:pPr>
              <w:spacing w:after="0"/>
              <w:rPr>
                <w:sz w:val="12"/>
                <w:szCs w:val="12"/>
                <w:color w:val="auto"/>
              </w:rPr>
            </w:pPr>
          </w:p>
        </w:tc>
        <w:tc>
          <w:tcPr>
            <w:tcW w:w="5360" w:type="dxa"/>
            <w:vAlign w:val="bottom"/>
            <w:tcBorders>
              <w:right w:val="single" w:sz="8" w:color="auto"/>
            </w:tcBorders>
            <w:gridSpan w:val="2"/>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gridSpan w:val="2"/>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560" w:type="dxa"/>
            <w:vAlign w:val="bottom"/>
          </w:tcPr>
          <w:p>
            <w:pPr>
              <w:spacing w:after="0"/>
              <w:rPr>
                <w:sz w:val="12"/>
                <w:szCs w:val="12"/>
                <w:color w:val="auto"/>
              </w:rPr>
            </w:pPr>
          </w:p>
        </w:tc>
        <w:tc>
          <w:tcPr>
            <w:tcW w:w="86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100" w:type="dxa"/>
            <w:vAlign w:val="bottom"/>
          </w:tcPr>
          <w:p>
            <w:pPr>
              <w:spacing w:after="0"/>
              <w:rPr>
                <w:sz w:val="6"/>
                <w:szCs w:val="6"/>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Omvat ook marge- en rentekosten.</w:t>
            </w:r>
            <w:r>
              <w:rPr xmlns:w="http://schemas.openxmlformats.org/wordprocessingml/2006/main">
                <w:rFonts w:ascii="Calibri" w:cs="Calibri" w:eastAsia="Calibri" w:hAnsi="Calibri"/>
                <w:sz w:val="22"/>
                <w:szCs w:val="22"/>
                <w:color w:val="auto"/>
              </w:rPr>
              <w:t xml:space="preserve"> Marge betekent de</w:t>
            </w:r>
          </w:p>
        </w:tc>
        <w:tc>
          <w:tcPr>
            <w:tcW w:w="80" w:type="dxa"/>
            <w:vAlign w:val="bottom"/>
          </w:tcPr>
          <w:p>
            <w:pPr>
              <w:spacing w:after="0"/>
              <w:rPr>
                <w:sz w:val="6"/>
                <w:szCs w:val="6"/>
                <w:color w:val="auto"/>
              </w:rPr>
            </w:pPr>
          </w:p>
        </w:tc>
        <w:tc>
          <w:tcPr>
            <w:tcW w:w="1440" w:type="dxa"/>
            <w:vAlign w:val="bottom"/>
            <w:tcBorders>
              <w:right w:val="single" w:sz="8" w:color="auto"/>
            </w:tcBorders>
            <w:gridSpan w:val="2"/>
            <w:vMerge w:val="continue"/>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560" w:type="dxa"/>
            <w:vAlign w:val="bottom"/>
          </w:tcPr>
          <w:p>
            <w:pPr>
              <w:spacing w:after="0"/>
              <w:rPr>
                <w:sz w:val="6"/>
                <w:szCs w:val="6"/>
                <w:color w:val="auto"/>
              </w:rPr>
            </w:pPr>
          </w:p>
        </w:tc>
        <w:tc>
          <w:tcPr>
            <w:tcW w:w="86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100" w:type="dxa"/>
            <w:vAlign w:val="bottom"/>
          </w:tcPr>
          <w:p>
            <w:pPr>
              <w:spacing w:after="0"/>
              <w:rPr>
                <w:sz w:val="19"/>
                <w:szCs w:val="19"/>
                <w:color w:val="auto"/>
              </w:rPr>
            </w:pPr>
          </w:p>
        </w:tc>
        <w:tc>
          <w:tcPr>
            <w:tcW w:w="5360" w:type="dxa"/>
            <w:vAlign w:val="bottom"/>
            <w:tcBorders>
              <w:right w:val="single" w:sz="8" w:color="auto"/>
            </w:tcBorders>
            <w:gridSpan w:val="2"/>
            <w:vMerge w:val="continue"/>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100" w:type="dxa"/>
            <w:vAlign w:val="bottom"/>
          </w:tcPr>
          <w:p>
            <w:pPr>
              <w:spacing w:after="0"/>
              <w:rPr>
                <w:sz w:val="19"/>
                <w:szCs w:val="19"/>
                <w:color w:val="auto"/>
              </w:rPr>
            </w:pPr>
          </w:p>
        </w:tc>
        <w:tc>
          <w:tcPr>
            <w:tcW w:w="206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0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86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100" w:type="dxa"/>
            <w:vAlign w:val="bottom"/>
          </w:tcPr>
          <w:p>
            <w:pPr>
              <w:spacing w:after="0"/>
              <w:rPr>
                <w:sz w:val="18"/>
                <w:szCs w:val="18"/>
                <w:color w:val="auto"/>
              </w:rPr>
            </w:pPr>
          </w:p>
        </w:tc>
        <w:tc>
          <w:tcPr>
            <w:tcW w:w="5360" w:type="dxa"/>
            <w:vAlign w:val="bottom"/>
            <w:tcBorders>
              <w:right w:val="single" w:sz="8" w:color="auto"/>
            </w:tcBorders>
            <w:gridSpan w:val="2"/>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activa die door een schrijver bij zijn</w:t>
            </w:r>
          </w:p>
        </w:tc>
        <w:tc>
          <w:tcPr>
            <w:tcW w:w="80" w:type="dxa"/>
            <w:vAlign w:val="bottom"/>
          </w:tcPr>
          <w:p>
            <w:pPr>
              <w:spacing w:after="0"/>
              <w:rPr>
                <w:sz w:val="18"/>
                <w:szCs w:val="18"/>
                <w:color w:val="auto"/>
              </w:rPr>
            </w:pPr>
          </w:p>
        </w:tc>
        <w:tc>
          <w:tcPr>
            <w:tcW w:w="1440" w:type="dxa"/>
            <w:vAlign w:val="bottom"/>
            <w:tcBorders>
              <w:right w:val="single" w:sz="8" w:color="auto"/>
            </w:tcBorders>
            <w:gridSpan w:val="2"/>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100" w:type="dxa"/>
            <w:vAlign w:val="bottom"/>
          </w:tcPr>
          <w:p>
            <w:pPr>
              <w:spacing w:after="0"/>
              <w:rPr>
                <w:sz w:val="18"/>
                <w:szCs w:val="18"/>
                <w:color w:val="auto"/>
              </w:rPr>
            </w:pPr>
          </w:p>
        </w:tc>
        <w:tc>
          <w:tcPr>
            <w:tcW w:w="240" w:type="dxa"/>
            <w:vAlign w:val="bottom"/>
            <w:tcBorders>
              <w:bottom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1820" w:type="dxa"/>
            <w:vAlign w:val="bottom"/>
            <w:tcBorders>
              <w:right w:val="single" w:sz="8" w:color="auto"/>
            </w:tcBorders>
            <w:gridSpan w:val="4"/>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Borders>
              <w:right w:val="single" w:sz="8" w:color="auto"/>
            </w:tcBorders>
            <w:gridSpan w:val="2"/>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5360" w:type="dxa"/>
            <w:vAlign w:val="bottom"/>
            <w:tcBorders>
              <w:right w:val="single" w:sz="8" w:color="auto"/>
            </w:tcBorders>
            <w:gridSpan w:val="2"/>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5"/>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100" w:type="dxa"/>
            <w:vAlign w:val="bottom"/>
          </w:tcPr>
          <w:p>
            <w:pPr>
              <w:spacing w:after="0"/>
              <w:rPr>
                <w:sz w:val="21"/>
                <w:szCs w:val="21"/>
                <w:color w:val="auto"/>
              </w:rPr>
            </w:pPr>
          </w:p>
        </w:tc>
        <w:tc>
          <w:tcPr>
            <w:tcW w:w="5360" w:type="dxa"/>
            <w:vAlign w:val="bottom"/>
            <w:tcBorders>
              <w:right w:val="single" w:sz="8" w:color="auto"/>
            </w:tcBorders>
            <w:gridSpan w:val="2"/>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makelaarskantoor als zekerheid voor de verplichting, als</w:t>
            </w:r>
          </w:p>
        </w:tc>
        <w:tc>
          <w:tcPr>
            <w:tcW w:w="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4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0"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00" w:type="dxa"/>
            <w:vAlign w:val="bottom"/>
          </w:tcPr>
          <w:p>
            <w:pPr>
              <w:spacing w:after="0"/>
              <w:rPr>
                <w:sz w:val="21"/>
                <w:szCs w:val="21"/>
                <w:color w:val="auto"/>
              </w:rPr>
            </w:pPr>
          </w:p>
        </w:tc>
        <w:tc>
          <w:tcPr>
            <w:tcW w:w="560" w:type="dxa"/>
            <w:vAlign w:val="bottom"/>
          </w:tcPr>
          <w:p>
            <w:pPr>
              <w:spacing w:after="0"/>
              <w:rPr>
                <w:sz w:val="21"/>
                <w:szCs w:val="21"/>
                <w:color w:val="auto"/>
              </w:rPr>
            </w:pPr>
          </w:p>
        </w:tc>
        <w:tc>
          <w:tcPr>
            <w:tcW w:w="86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100" w:type="dxa"/>
            <w:vAlign w:val="bottom"/>
          </w:tcPr>
          <w:p>
            <w:pPr>
              <w:spacing w:after="0"/>
              <w:rPr>
                <w:sz w:val="14"/>
                <w:szCs w:val="14"/>
                <w:color w:val="auto"/>
              </w:rPr>
            </w:pPr>
          </w:p>
        </w:tc>
        <w:tc>
          <w:tcPr>
            <w:tcW w:w="5360" w:type="dxa"/>
            <w:vAlign w:val="bottom"/>
            <w:tcBorders>
              <w:right w:val="single" w:sz="8" w:color="auto"/>
            </w:tcBorders>
            <w:gridSpan w:val="2"/>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van toepassing, om de onderliggende rente te kopen of te verkopen of te betalen</w:t>
            </w:r>
          </w:p>
        </w:tc>
        <w:tc>
          <w:tcPr>
            <w:tcW w:w="80" w:type="dxa"/>
            <w:vAlign w:val="bottom"/>
          </w:tcPr>
          <w:p>
            <w:pPr>
              <w:spacing w:after="0"/>
              <w:rPr>
                <w:sz w:val="14"/>
                <w:szCs w:val="14"/>
                <w:color w:val="auto"/>
              </w:rPr>
            </w:pPr>
          </w:p>
        </w:tc>
        <w:tc>
          <w:tcPr>
            <w:tcW w:w="1020" w:type="dxa"/>
            <w:vAlign w:val="bottom"/>
          </w:tcPr>
          <w:p>
            <w:pPr>
              <w:spacing w:after="0"/>
              <w:rPr>
                <w:sz w:val="14"/>
                <w:szCs w:val="14"/>
                <w:color w:val="auto"/>
              </w:rPr>
            </w:pPr>
          </w:p>
        </w:tc>
        <w:tc>
          <w:tcPr>
            <w:tcW w:w="4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00" w:type="dxa"/>
            <w:vAlign w:val="bottom"/>
          </w:tcPr>
          <w:p>
            <w:pPr>
              <w:spacing w:after="0"/>
              <w:rPr>
                <w:sz w:val="14"/>
                <w:szCs w:val="14"/>
                <w:color w:val="auto"/>
              </w:rPr>
            </w:pPr>
          </w:p>
        </w:tc>
        <w:tc>
          <w:tcPr>
            <w:tcW w:w="1420" w:type="dxa"/>
            <w:vAlign w:val="bottom"/>
            <w:tcBorders>
              <w:right w:val="single" w:sz="8" w:color="auto"/>
            </w:tcBorders>
            <w:gridSpan w:val="2"/>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100" w:type="dxa"/>
            <w:vAlign w:val="bottom"/>
          </w:tcPr>
          <w:p>
            <w:pPr>
              <w:spacing w:after="0"/>
              <w:rPr>
                <w:sz w:val="8"/>
                <w:szCs w:val="8"/>
                <w:color w:val="auto"/>
              </w:rPr>
            </w:pPr>
          </w:p>
        </w:tc>
        <w:tc>
          <w:tcPr>
            <w:tcW w:w="5360" w:type="dxa"/>
            <w:vAlign w:val="bottom"/>
            <w:tcBorders>
              <w:right w:val="single" w:sz="8" w:color="auto"/>
            </w:tcBorders>
            <w:gridSpan w:val="2"/>
            <w:vMerge w:val="continue"/>
          </w:tcPr>
          <w:p>
            <w:pPr>
              <w:spacing w:after="0"/>
              <w:rPr>
                <w:sz w:val="8"/>
                <w:szCs w:val="8"/>
                <w:color w:val="auto"/>
              </w:rPr>
            </w:pPr>
          </w:p>
        </w:tc>
        <w:tc>
          <w:tcPr>
            <w:tcW w:w="80" w:type="dxa"/>
            <w:vAlign w:val="bottom"/>
          </w:tcPr>
          <w:p>
            <w:pPr>
              <w:spacing w:after="0"/>
              <w:rPr>
                <w:sz w:val="8"/>
                <w:szCs w:val="8"/>
                <w:color w:val="auto"/>
              </w:rPr>
            </w:pPr>
          </w:p>
        </w:tc>
        <w:tc>
          <w:tcPr>
            <w:tcW w:w="1440" w:type="dxa"/>
            <w:vAlign w:val="bottom"/>
            <w:tcBorders>
              <w:right w:val="single" w:sz="8" w:color="auto"/>
            </w:tcBorders>
            <w:gridSpan w:val="2"/>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00" w:type="dxa"/>
            <w:vAlign w:val="bottom"/>
          </w:tcPr>
          <w:p>
            <w:pPr>
              <w:spacing w:after="0"/>
              <w:rPr>
                <w:sz w:val="8"/>
                <w:szCs w:val="8"/>
                <w:color w:val="auto"/>
              </w:rPr>
            </w:pPr>
          </w:p>
        </w:tc>
        <w:tc>
          <w:tcPr>
            <w:tcW w:w="1420" w:type="dxa"/>
            <w:vAlign w:val="bottom"/>
            <w:tcBorders>
              <w:right w:val="single" w:sz="8" w:color="auto"/>
            </w:tcBorders>
            <w:gridSpan w:val="2"/>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8"/>
        </w:trPr>
        <w:tc>
          <w:tcPr>
            <w:tcW w:w="100" w:type="dxa"/>
            <w:vAlign w:val="bottom"/>
          </w:tcPr>
          <w:p>
            <w:pPr>
              <w:spacing w:after="0"/>
              <w:rPr>
                <w:sz w:val="9"/>
                <w:szCs w:val="9"/>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bedrag van de afwikkeling in contanten.</w:t>
            </w:r>
            <w:r>
              <w:rPr xmlns:w="http://schemas.openxmlformats.org/wordprocessingml/2006/main">
                <w:rFonts w:ascii="Calibri" w:cs="Calibri" w:eastAsia="Calibri" w:hAnsi="Calibri"/>
                <w:sz w:val="22"/>
                <w:szCs w:val="22"/>
                <w:color w:val="auto"/>
              </w:rPr>
              <w:t xml:space="preserve"> Indien een optie wordt uitgeoefend en</w:t>
            </w:r>
          </w:p>
        </w:tc>
        <w:tc>
          <w:tcPr>
            <w:tcW w:w="80" w:type="dxa"/>
            <w:vAlign w:val="bottom"/>
          </w:tcPr>
          <w:p>
            <w:pPr>
              <w:spacing w:after="0"/>
              <w:rPr>
                <w:sz w:val="9"/>
                <w:szCs w:val="9"/>
                <w:color w:val="auto"/>
              </w:rPr>
            </w:pPr>
          </w:p>
        </w:tc>
        <w:tc>
          <w:tcPr>
            <w:tcW w:w="1440" w:type="dxa"/>
            <w:vAlign w:val="bottom"/>
            <w:tcBorders>
              <w:right w:val="single" w:sz="8" w:color="auto"/>
            </w:tcBorders>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Borders>
              <w:right w:val="single" w:sz="8" w:color="auto"/>
            </w:tcBorders>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5360" w:type="dxa"/>
            <w:vAlign w:val="bottom"/>
            <w:tcBorders>
              <w:right w:val="single" w:sz="8" w:color="auto"/>
            </w:tcBorders>
            <w:gridSpan w:val="2"/>
            <w:vMerge w:val="continue"/>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020" w:type="dxa"/>
            <w:vAlign w:val="bottom"/>
            <w:tcBorders>
              <w:bottom w:val="single" w:sz="8" w:color="auto"/>
            </w:tcBorders>
          </w:tcPr>
          <w:p>
            <w:pPr>
              <w:spacing w:after="0" w:line="20" w:lineRule="exact"/>
              <w:rPr>
                <w:sz w:val="1"/>
                <w:szCs w:val="1"/>
                <w:color w:val="auto"/>
              </w:rPr>
            </w:pPr>
          </w:p>
        </w:tc>
        <w:tc>
          <w:tcPr>
            <w:tcW w:w="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560" w:type="dxa"/>
            <w:vAlign w:val="bottom"/>
            <w:tcBorders>
              <w:bottom w:val="single" w:sz="8" w:color="auto"/>
            </w:tcBorders>
          </w:tcPr>
          <w:p>
            <w:pPr>
              <w:spacing w:after="0" w:line="20" w:lineRule="exact"/>
              <w:rPr>
                <w:sz w:val="1"/>
                <w:szCs w:val="1"/>
                <w:color w:val="auto"/>
              </w:rPr>
            </w:pPr>
          </w:p>
        </w:tc>
        <w:tc>
          <w:tcPr>
            <w:tcW w:w="86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100" w:type="dxa"/>
            <w:vAlign w:val="bottom"/>
          </w:tcPr>
          <w:p>
            <w:pPr>
              <w:spacing w:after="0"/>
              <w:rPr>
                <w:sz w:val="8"/>
                <w:szCs w:val="8"/>
                <w:color w:val="auto"/>
              </w:rPr>
            </w:pPr>
          </w:p>
        </w:tc>
        <w:tc>
          <w:tcPr>
            <w:tcW w:w="5360" w:type="dxa"/>
            <w:vAlign w:val="bottom"/>
            <w:tcBorders>
              <w:right w:val="single" w:sz="8" w:color="auto"/>
            </w:tcBorders>
            <w:gridSpan w:val="2"/>
            <w:vMerge w:val="continue"/>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3480" w:type="dxa"/>
            <w:vAlign w:val="bottom"/>
            <w:gridSpan w:val="7"/>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560" w:type="dxa"/>
            <w:vAlign w:val="bottom"/>
            <w:shd w:val="clear" w:color="auto" w:fill="DADADA"/>
          </w:tcPr>
          <w:p>
            <w:pPr>
              <w:spacing w:after="0"/>
              <w:rPr>
                <w:sz w:val="8"/>
                <w:szCs w:val="8"/>
                <w:color w:val="auto"/>
              </w:rPr>
            </w:pPr>
          </w:p>
        </w:tc>
        <w:tc>
          <w:tcPr>
            <w:tcW w:w="86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100" w:type="dxa"/>
            <w:vAlign w:val="bottom"/>
          </w:tcPr>
          <w:p>
            <w:pPr>
              <w:spacing w:after="0"/>
              <w:rPr>
                <w:sz w:val="15"/>
                <w:szCs w:val="15"/>
                <w:color w:val="auto"/>
              </w:rPr>
            </w:pPr>
          </w:p>
        </w:tc>
        <w:tc>
          <w:tcPr>
            <w:tcW w:w="536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Als een schrijver wordt toegewezen, kunnen er extra kosten ontstaan.</w:t>
            </w:r>
          </w:p>
        </w:tc>
        <w:tc>
          <w:tcPr>
            <w:tcW w:w="8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7"/>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560" w:type="dxa"/>
            <w:vAlign w:val="bottom"/>
            <w:tcBorders>
              <w:bottom w:val="single" w:sz="8" w:color="auto"/>
            </w:tcBorders>
            <w:shd w:val="clear" w:color="auto" w:fill="DADADA"/>
          </w:tcPr>
          <w:p>
            <w:pPr>
              <w:spacing w:after="0"/>
              <w:rPr>
                <w:sz w:val="15"/>
                <w:szCs w:val="15"/>
                <w:color w:val="auto"/>
              </w:rPr>
            </w:pPr>
          </w:p>
        </w:tc>
        <w:tc>
          <w:tcPr>
            <w:tcW w:w="86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100" w:type="dxa"/>
            <w:vAlign w:val="bottom"/>
          </w:tcPr>
          <w:p>
            <w:pPr>
              <w:spacing w:after="0"/>
              <w:rPr>
                <w:sz w:val="6"/>
                <w:szCs w:val="6"/>
                <w:color w:val="auto"/>
              </w:rPr>
            </w:pPr>
          </w:p>
        </w:tc>
        <w:tc>
          <w:tcPr>
            <w:tcW w:w="5360" w:type="dxa"/>
            <w:vAlign w:val="bottom"/>
            <w:tcBorders>
              <w:right w:val="single" w:sz="8" w:color="auto"/>
            </w:tcBorders>
            <w:gridSpan w:val="2"/>
            <w:vMerge w:val="continue"/>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00" w:type="dxa"/>
            <w:vAlign w:val="bottom"/>
          </w:tcPr>
          <w:p>
            <w:pPr>
              <w:spacing w:after="0"/>
              <w:rPr>
                <w:sz w:val="6"/>
                <w:szCs w:val="6"/>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100" w:type="dxa"/>
            <w:vAlign w:val="bottom"/>
          </w:tcPr>
          <w:p>
            <w:pPr>
              <w:spacing w:after="0"/>
              <w:rPr>
                <w:sz w:val="18"/>
                <w:szCs w:val="18"/>
                <w:color w:val="auto"/>
              </w:rPr>
            </w:pPr>
          </w:p>
        </w:tc>
        <w:tc>
          <w:tcPr>
            <w:tcW w:w="5360" w:type="dxa"/>
            <w:vAlign w:val="bottom"/>
            <w:tcBorders>
              <w:right w:val="single" w:sz="8" w:color="auto"/>
            </w:tcBorders>
            <w:gridSpan w:val="2"/>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Afgezien van de kosten voor investeerders, brengt OCC gerelateerde kosten in rekening</w:t>
            </w: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gridSpan w:val="2"/>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gridSpan w:val="2"/>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7"/>
        </w:trPr>
        <w:tc>
          <w:tcPr>
            <w:tcW w:w="100" w:type="dxa"/>
            <w:vAlign w:val="bottom"/>
          </w:tcPr>
          <w:p>
            <w:pPr>
              <w:spacing w:after="0"/>
              <w:rPr>
                <w:sz w:val="24"/>
                <w:szCs w:val="24"/>
                <w:color w:val="auto"/>
              </w:rPr>
            </w:pPr>
          </w:p>
        </w:tc>
        <w:tc>
          <w:tcPr>
            <w:tcW w:w="10560" w:type="dxa"/>
            <w:vAlign w:val="bottom"/>
            <w:gridSpan w:val="14"/>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Voor het wissen van dit product aan zijn clearingleden, maar niet rechtstreeks aan u:</w:t>
            </w:r>
            <w:r>
              <w:rPr xmlns:w="http://schemas.openxmlformats.org/wordprocessingml/2006/main">
                <w:rFonts w:ascii="Calibri" w:cs="Calibri" w:eastAsia="Calibri" w:hAnsi="Calibri"/>
                <w:sz w:val="22"/>
                <w:szCs w:val="22"/>
                <w:color w:val="0563C1"/>
              </w:rPr>
              <w:t xml:space="preserve"> https://www.theocc.com/company-</w:t>
            </w:r>
          </w:p>
        </w:tc>
        <w:tc>
          <w:tcPr>
            <w:tcW w:w="1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100" w:type="dxa"/>
            <w:vAlign w:val="bottom"/>
          </w:tcPr>
          <w:p>
            <w:pPr>
              <w:spacing w:after="0"/>
              <w:rPr>
                <w:sz w:val="21"/>
                <w:szCs w:val="21"/>
                <w:color w:val="auto"/>
              </w:rPr>
            </w:pPr>
          </w:p>
        </w:tc>
        <w:tc>
          <w:tcPr>
            <w:tcW w:w="5360" w:type="dxa"/>
            <w:vAlign w:val="bottom"/>
            <w:gridSpan w:val="2"/>
          </w:tcPr>
          <w:p>
            <w:pPr xmlns:w="http://schemas.openxmlformats.org/wordprocessingml/2006/main">
              <w:spacing w:after="0" w:line="249" w:lineRule="exact"/>
              <w:rPr>
                <w:sz w:val="20"/>
                <w:szCs w:val="20"/>
                <w:color w:val="auto"/>
              </w:rPr>
            </w:pPr>
            <w:r>
              <w:rPr xmlns:w="http://schemas.openxmlformats.org/wordprocessingml/2006/main">
                <w:rFonts w:ascii="Calibri" w:cs="Calibri" w:eastAsia="Calibri" w:hAnsi="Calibri"/>
                <w:sz w:val="22"/>
                <w:szCs w:val="22"/>
                <w:color w:val="0563C1"/>
              </w:rPr>
              <w:t xml:space="preserve">informatie/dienstregeling</w:t>
            </w:r>
            <w:r>
              <w:rPr xmlns:w="http://schemas.openxmlformats.org/wordprocessingml/2006/main">
                <w:rFonts w:ascii="Calibri" w:cs="Calibri" w:eastAsia="Calibri" w:hAnsi="Calibri"/>
                <w:sz w:val="22"/>
                <w:szCs w:val="22"/>
                <w:color w:val="000000"/>
              </w:rPr>
              <w:t xml:space="preserve">.</w:t>
            </w:r>
          </w:p>
        </w:tc>
        <w:tc>
          <w:tcPr>
            <w:tcW w:w="80" w:type="dxa"/>
            <w:vAlign w:val="bottom"/>
          </w:tcPr>
          <w:p>
            <w:pPr>
              <w:spacing w:after="0"/>
              <w:rPr>
                <w:sz w:val="21"/>
                <w:szCs w:val="21"/>
                <w:color w:val="auto"/>
              </w:rPr>
            </w:pPr>
          </w:p>
        </w:tc>
        <w:tc>
          <w:tcPr>
            <w:tcW w:w="1020" w:type="dxa"/>
            <w:vAlign w:val="bottom"/>
          </w:tcPr>
          <w:p>
            <w:pPr>
              <w:spacing w:after="0"/>
              <w:rPr>
                <w:sz w:val="21"/>
                <w:szCs w:val="21"/>
                <w:color w:val="auto"/>
              </w:rPr>
            </w:pPr>
          </w:p>
        </w:tc>
        <w:tc>
          <w:tcPr>
            <w:tcW w:w="420" w:type="dxa"/>
            <w:vAlign w:val="bottom"/>
            <w:tcBorders>
              <w:top w:val="single" w:sz="8" w:color="0563C1"/>
            </w:tcBorders>
          </w:tcPr>
          <w:p>
            <w:pPr>
              <w:spacing w:after="0"/>
              <w:rPr>
                <w:sz w:val="21"/>
                <w:szCs w:val="21"/>
                <w:color w:val="auto"/>
              </w:rPr>
            </w:pPr>
          </w:p>
        </w:tc>
        <w:tc>
          <w:tcPr>
            <w:tcW w:w="100" w:type="dxa"/>
            <w:vAlign w:val="bottom"/>
            <w:tcBorders>
              <w:top w:val="single" w:sz="8" w:color="0563C1"/>
            </w:tcBorders>
          </w:tcPr>
          <w:p>
            <w:pPr>
              <w:spacing w:after="0"/>
              <w:rPr>
                <w:sz w:val="21"/>
                <w:szCs w:val="21"/>
                <w:color w:val="auto"/>
              </w:rPr>
            </w:pPr>
          </w:p>
        </w:tc>
        <w:tc>
          <w:tcPr>
            <w:tcW w:w="240" w:type="dxa"/>
            <w:vAlign w:val="bottom"/>
            <w:tcBorders>
              <w:top w:val="single" w:sz="8" w:color="0563C1"/>
            </w:tcBorders>
          </w:tcPr>
          <w:p>
            <w:pPr>
              <w:spacing w:after="0"/>
              <w:rPr>
                <w:sz w:val="21"/>
                <w:szCs w:val="21"/>
                <w:color w:val="auto"/>
              </w:rPr>
            </w:pPr>
          </w:p>
        </w:tc>
        <w:tc>
          <w:tcPr>
            <w:tcW w:w="460" w:type="dxa"/>
            <w:vAlign w:val="bottom"/>
            <w:tcBorders>
              <w:top w:val="single" w:sz="8" w:color="0563C1"/>
            </w:tcBorders>
          </w:tcPr>
          <w:p>
            <w:pPr>
              <w:spacing w:after="0"/>
              <w:rPr>
                <w:sz w:val="21"/>
                <w:szCs w:val="21"/>
                <w:color w:val="auto"/>
              </w:rPr>
            </w:pPr>
          </w:p>
        </w:tc>
        <w:tc>
          <w:tcPr>
            <w:tcW w:w="960" w:type="dxa"/>
            <w:vAlign w:val="bottom"/>
            <w:tcBorders>
              <w:top w:val="single" w:sz="8" w:color="0563C1"/>
            </w:tcBorders>
          </w:tcPr>
          <w:p>
            <w:pPr>
              <w:spacing w:after="0"/>
              <w:rPr>
                <w:sz w:val="21"/>
                <w:szCs w:val="21"/>
                <w:color w:val="auto"/>
              </w:rPr>
            </w:pPr>
          </w:p>
        </w:tc>
        <w:tc>
          <w:tcPr>
            <w:tcW w:w="280" w:type="dxa"/>
            <w:vAlign w:val="bottom"/>
            <w:tcBorders>
              <w:top w:val="single" w:sz="8" w:color="0563C1"/>
            </w:tcBorders>
          </w:tcPr>
          <w:p>
            <w:pPr>
              <w:spacing w:after="0"/>
              <w:rPr>
                <w:sz w:val="21"/>
                <w:szCs w:val="21"/>
                <w:color w:val="auto"/>
              </w:rPr>
            </w:pPr>
          </w:p>
        </w:tc>
        <w:tc>
          <w:tcPr>
            <w:tcW w:w="120" w:type="dxa"/>
            <w:vAlign w:val="bottom"/>
            <w:tcBorders>
              <w:top w:val="single" w:sz="8" w:color="0563C1"/>
            </w:tcBorders>
          </w:tcPr>
          <w:p>
            <w:pPr>
              <w:spacing w:after="0"/>
              <w:rPr>
                <w:sz w:val="21"/>
                <w:szCs w:val="21"/>
                <w:color w:val="auto"/>
              </w:rPr>
            </w:pPr>
          </w:p>
        </w:tc>
        <w:tc>
          <w:tcPr>
            <w:tcW w:w="100" w:type="dxa"/>
            <w:vAlign w:val="bottom"/>
            <w:tcBorders>
              <w:top w:val="single" w:sz="8" w:color="0563C1"/>
            </w:tcBorders>
          </w:tcPr>
          <w:p>
            <w:pPr>
              <w:spacing w:after="0"/>
              <w:rPr>
                <w:sz w:val="21"/>
                <w:szCs w:val="21"/>
                <w:color w:val="auto"/>
              </w:rPr>
            </w:pPr>
          </w:p>
        </w:tc>
        <w:tc>
          <w:tcPr>
            <w:tcW w:w="560" w:type="dxa"/>
            <w:vAlign w:val="bottom"/>
            <w:tcBorders>
              <w:top w:val="single" w:sz="8" w:color="0563C1"/>
            </w:tcBorders>
          </w:tcPr>
          <w:p>
            <w:pPr>
              <w:spacing w:after="0"/>
              <w:rPr>
                <w:sz w:val="21"/>
                <w:szCs w:val="21"/>
                <w:color w:val="auto"/>
              </w:rPr>
            </w:pPr>
          </w:p>
        </w:tc>
        <w:tc>
          <w:tcPr>
            <w:tcW w:w="860" w:type="dxa"/>
            <w:vAlign w:val="bottom"/>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0"/>
        </w:trPr>
        <w:tc>
          <w:tcPr>
            <w:tcW w:w="100" w:type="dxa"/>
            <w:vAlign w:val="bottom"/>
          </w:tcPr>
          <w:p>
            <w:pPr>
              <w:spacing w:after="0" w:line="20" w:lineRule="exact"/>
              <w:rPr>
                <w:sz w:val="1"/>
                <w:szCs w:val="1"/>
                <w:color w:val="auto"/>
              </w:rPr>
            </w:pPr>
          </w:p>
        </w:tc>
        <w:tc>
          <w:tcPr>
            <w:tcW w:w="2640" w:type="dxa"/>
            <w:vAlign w:val="bottom"/>
            <w:shd w:val="clear" w:color="auto" w:fill="0563C1"/>
          </w:tcPr>
          <w:p>
            <w:pPr>
              <w:spacing w:after="0" w:line="20" w:lineRule="exact"/>
              <w:rPr>
                <w:sz w:val="1"/>
                <w:szCs w:val="1"/>
                <w:color w:val="auto"/>
              </w:rPr>
            </w:pPr>
          </w:p>
        </w:tc>
        <w:tc>
          <w:tcPr>
            <w:tcW w:w="27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02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4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560" w:type="dxa"/>
            <w:vAlign w:val="bottom"/>
          </w:tcPr>
          <w:p>
            <w:pPr>
              <w:spacing w:after="0" w:line="20" w:lineRule="exact"/>
              <w:rPr>
                <w:sz w:val="1"/>
                <w:szCs w:val="1"/>
                <w:color w:val="auto"/>
              </w:rPr>
            </w:pPr>
          </w:p>
        </w:tc>
        <w:tc>
          <w:tcPr>
            <w:tcW w:w="86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1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optiecontract(en) moeten uitoefenen of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18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 w:lineRule="exact"/>
        <w:rPr>
          <w:sz w:val="20"/>
          <w:szCs w:val="20"/>
          <w:color w:val="auto"/>
        </w:rPr>
      </w:pPr>
    </w:p>
    <w:p>
      <w:pPr xmlns:w="http://schemas.openxmlformats.org/wordprocessingml/2006/main">
        <w:ind w:left="340"/>
        <w:spacing w:after="0"/>
        <w:tabs>
          <w:tab w:leader="none" w:pos="5400" w:val="left"/>
        </w:tabs>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2"/>
          <w:szCs w:val="22"/>
          <w:color w:val="auto"/>
        </w:rPr>
        <w:t xml:space="preserve">VS</w:t>
      </w:r>
      <w:r>
        <w:rPr xmlns:w="http://schemas.openxmlformats.org/wordprocessingml/2006/main">
          <w:rFonts w:ascii="Calibri" w:cs="Calibri" w:eastAsia="Calibri" w:hAnsi="Calibri"/>
          <w:sz w:val="22"/>
          <w:szCs w:val="22"/>
          <w:color w:val="auto"/>
        </w:rPr>
        <w:t xml:space="preserve"> Securities and Exchange Commission</w:t>
      </w:r>
    </w:p>
    <w:p>
      <w:pPr xmlns:w="http://schemas.openxmlformats.org/wordprocessingml/2006/main">
        <w:ind w:left="380"/>
        <w:spacing w:after="0"/>
        <w:tabs>
          <w:tab w:leader="none" w:pos="5400" w:val="left"/>
        </w:tabs>
        <w:rPr>
          <w:sz w:val="20"/>
          <w:szCs w:val="20"/>
          <w:color w:val="auto"/>
        </w:rPr>
      </w:pPr>
      <w:r>
        <w:rPr xmlns:w="http://schemas.openxmlformats.org/wordprocessingml/2006/main">
          <w:rFonts w:ascii="Calibri" w:cs="Calibri" w:eastAsia="Calibri" w:hAnsi="Calibri"/>
          <w:sz w:val="22"/>
          <w:szCs w:val="22"/>
          <w:color w:val="auto"/>
        </w:rPr>
        <w:t xml:space="preserve">9509 Key West Avenue</w:t>
        <w:tab xmlns:w="http://schemas.openxmlformats.org/wordprocessingml/2006/main"/>
      </w:r>
      <w:r>
        <w:rPr xmlns:w="http://schemas.openxmlformats.org/wordprocessingml/2006/main">
          <w:rFonts w:ascii="Calibri" w:cs="Calibri" w:eastAsia="Calibri" w:hAnsi="Calibri"/>
          <w:sz w:val="22"/>
          <w:szCs w:val="22"/>
          <w:color w:val="auto"/>
        </w:rPr>
        <w:t xml:space="preserve">Office of Investor Education and Advocacy</w:t>
      </w:r>
    </w:p>
    <w:p>
      <w:pPr xmlns:w="http://schemas.openxmlformats.org/wordprocessingml/2006/main">
        <w:ind w:left="380"/>
        <w:spacing w:after="0"/>
        <w:tabs>
          <w:tab w:leader="none" w:pos="54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1"/>
          <w:szCs w:val="21"/>
          <w:color w:val="auto"/>
        </w:rPr>
        <w:t xml:space="preserve">100 F Street, n.e.</w:t>
      </w:r>
    </w:p>
    <w:p>
      <w:pPr xmlns:w="http://schemas.openxmlformats.org/wordprocessingml/2006/main">
        <w:ind w:left="380"/>
        <w:spacing w:after="0"/>
        <w:tabs>
          <w:tab w:leader="none" w:pos="5400" w:val="left"/>
        </w:tabs>
        <w:rPr>
          <w:sz w:val="20"/>
          <w:szCs w:val="20"/>
          <w:color w:val="auto"/>
        </w:rPr>
      </w:pPr>
      <w:r>
        <w:rPr xmlns:w="http://schemas.openxmlformats.org/wordprocessingml/2006/main">
          <w:rFonts w:ascii="Calibri" w:cs="Calibri" w:eastAsia="Calibri" w:hAnsi="Calibri"/>
          <w:sz w:val="22"/>
          <w:szCs w:val="22"/>
          <w:color w:val="auto"/>
        </w:rPr>
        <w:t xml:space="preserve">Telefoon: (240) 386- 4357 Fax: (866) 397-3290</w:t>
        <w:tab xmlns:w="http://schemas.openxmlformats.org/wordprocessingml/2006/main"/>
      </w:r>
      <w:r>
        <w:rPr xmlns:w="http://schemas.openxmlformats.org/wordprocessingml/2006/main">
          <w:rFonts w:ascii="Calibri" w:cs="Calibri" w:eastAsia="Calibri" w:hAnsi="Calibri"/>
          <w:sz w:val="21"/>
          <w:szCs w:val="21"/>
          <w:color w:val="auto"/>
        </w:rPr>
        <w:t xml:space="preserve">Washington, DC 20549-0213 Fax: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73660</wp:posOffset>
                </wp:positionH>
                <wp:positionV relativeFrom="paragraph">
                  <wp:posOffset>16510</wp:posOffset>
                </wp:positionV>
                <wp:extent cx="684784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1.3pt" to="545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900"/>
      </w:cols>
      <w:pgMar w:left="860" w:top="774" w:right="480" w:bottom="552"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5161690"/>
    <w:multiLevelType w:val="hybridMultilevel"/>
    <w:lvl w:ilvl="0">
      <w:lvlJc w:val="left"/>
      <w:lvlText w:val="·"/>
      <w:numFmt w:val="bullet"/>
      <w:start w:val="1"/>
    </w:lvl>
  </w:abstractNum>
  <w:abstractNum w:abstractNumId="1">
    <w:nsid w:val="7D7D162F"/>
    <w:multiLevelType w:val="hybridMultilevel"/>
    <w:lvl w:ilvl="0">
      <w:lvlJc w:val="left"/>
      <w:lvlText w:val="·"/>
      <w:numFmt w:val="bullet"/>
      <w:start w:val="1"/>
    </w:lvl>
  </w:abstractNum>
  <w:abstractNum w:abstractNumId="2">
    <w:nsid w:val="698969E"/>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2024-06-24T11:23:46Z</dcterms:created>
  <dcterms:modified xsi:type="dcterms:W3CDTF">2024-06-24T11:23:46Z</dcterms:modified>
</cp:coreProperties>
</file>