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4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INFORMAZIONI CHIAVE PER GLI INVESTITORI</w:t>
      </w:r>
    </w:p>
    <w:p>
      <w:pPr>
        <w:spacing w:after="0" w:line="67" w:lineRule="exact"/>
        <w:rPr>
          <w:sz w:val="24"/>
          <w:szCs w:val="24"/>
          <w:color w:val="auto"/>
        </w:rPr>
      </w:pPr>
    </w:p>
    <w:p>
      <w:pPr xmlns:w="http://schemas.openxmlformats.org/wordprocessingml/2006/main">
        <w:ind w:left="3740" w:right="160"/>
        <w:spacing w:after="0" w:line="299" w:lineRule="auto"/>
        <w:rPr>
          <w:sz w:val="20"/>
          <w:szCs w:val="20"/>
          <w:color w:val="auto"/>
        </w:rPr>
      </w:pPr>
      <w:r>
        <w:rPr xmlns:w="http://schemas.openxmlformats.org/wordprocessingml/2006/main">
          <w:rFonts w:ascii="Arial" w:cs="Arial" w:eastAsia="Arial" w:hAnsi="Arial"/>
          <w:sz w:val="15"/>
          <w:szCs w:val="15"/>
          <w:color w:val="auto"/>
        </w:rPr>
        <w:t xml:space="preserve">Questo documento fornisce informazioni chiave per gli investitori su questo fondo.</w:t>
      </w:r>
      <w:r>
        <w:rPr xmlns:w="http://schemas.openxmlformats.org/wordprocessingml/2006/main">
          <w:rFonts w:ascii="Arial" w:cs="Arial" w:eastAsia="Arial" w:hAnsi="Arial"/>
          <w:sz w:val="15"/>
          <w:szCs w:val="15"/>
          <w:color w:val="auto"/>
        </w:rPr>
        <w:t xml:space="preserve"> Non è materiale di marketing.</w:t>
      </w:r>
      <w:r>
        <w:rPr xmlns:w="http://schemas.openxmlformats.org/wordprocessingml/2006/main">
          <w:rFonts w:ascii="Arial" w:cs="Arial" w:eastAsia="Arial" w:hAnsi="Arial"/>
          <w:sz w:val="15"/>
          <w:szCs w:val="15"/>
          <w:color w:val="auto"/>
        </w:rPr>
        <w:t xml:space="preserve"> Le informazioni sono richieste dalla legge per aiutarti a comprendere la natura e i rischi dell'investimento in questo Fondo.</w:t>
      </w:r>
      <w:r>
        <w:rPr xmlns:w="http://schemas.openxmlformats.org/wordprocessingml/2006/main">
          <w:rFonts w:ascii="Arial" w:cs="Arial" w:eastAsia="Arial" w:hAnsi="Arial"/>
          <w:sz w:val="15"/>
          <w:szCs w:val="15"/>
          <w:color w:val="auto"/>
        </w:rPr>
        <w:t xml:space="preserve"> Si consiglia di leggerlo in modo da poter prendere una decisione informata sull'opportunità di investire.</w:t>
      </w:r>
    </w:p>
    <w:tbl>
      <w:tblPr>
        <w:tblLayout w:type="fixed"/>
        <w:tblInd w:w="0" w:type="dxa"/>
        <w:tblCellMar>
          <w:top w:w="0" w:type="dxa"/>
          <w:left w:w="0" w:type="dxa"/>
          <w:bottom w:w="0" w:type="dxa"/>
          <w:right w:w="0" w:type="dxa"/>
        </w:tblCellMar>
      </w:tblPr>
      <w:tr>
        <w:trPr>
          <w:trHeight w:val="422"/>
        </w:trPr>
        <w:tc>
          <w:tcPr>
            <w:tcW w:w="534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8"/>
                <w:szCs w:val="28"/>
                <w:color w:val="FFFFFF"/>
                <w:w w:val="91"/>
              </w:rPr>
              <w:t xml:space="preserve">iShares STOXX Europe 600 OICVM per il petrolio e il gas</w:t>
            </w:r>
          </w:p>
        </w:tc>
        <w:tc>
          <w:tcPr>
            <w:tcW w:w="5320" w:type="dxa"/>
            <w:vAlign w:val="bottom"/>
            <w:tcBorders>
              <w:top w:val="single" w:sz="8" w:color="auto"/>
              <w:right w:val="single" w:sz="8" w:color="auto"/>
            </w:tcBorders>
            <w:gridSpan w:val="2"/>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2"/>
                <w:szCs w:val="22"/>
                <w:color w:val="auto"/>
              </w:rPr>
              <w:t xml:space="preserve">Exchange Traded Fund (ETF)</w:t>
            </w:r>
          </w:p>
        </w:tc>
        <w:tc>
          <w:tcPr>
            <w:tcW w:w="0" w:type="dxa"/>
            <w:vAlign w:val="bottom"/>
          </w:tcPr>
          <w:p>
            <w:pPr>
              <w:spacing w:after="0"/>
              <w:rPr>
                <w:sz w:val="1"/>
                <w:szCs w:val="1"/>
                <w:color w:val="auto"/>
              </w:rPr>
            </w:pPr>
          </w:p>
        </w:tc>
      </w:tr>
      <w:tr>
        <w:trPr>
          <w:trHeight w:val="242"/>
        </w:trPr>
        <w:tc>
          <w:tcPr>
            <w:tcW w:w="5340" w:type="dxa"/>
            <w:vAlign w:val="bottom"/>
            <w:vMerge w:val="restart"/>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8"/>
                <w:szCs w:val="28"/>
                <w:color w:val="FFFFFF"/>
              </w:rPr>
              <w:t xml:space="preserve">ETF (DE)</w:t>
            </w:r>
          </w:p>
        </w:tc>
        <w:tc>
          <w:tcPr>
            <w:tcW w:w="176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WKN: A0H08 M</w:t>
            </w:r>
          </w:p>
        </w:tc>
        <w:tc>
          <w:tcPr>
            <w:tcW w:w="3580" w:type="dxa"/>
            <w:vAlign w:val="bottom"/>
            <w:tcBorders>
              <w:right w:val="single" w:sz="8" w:color="auto"/>
            </w:tcBorders>
          </w:tcPr>
          <w:p>
            <w:pPr xmlns:w="http://schemas.openxmlformats.org/wordprocessingml/2006/main">
              <w:ind w:left="560"/>
              <w:spacing w:after="0"/>
              <w:rPr>
                <w:sz w:val="20"/>
                <w:szCs w:val="20"/>
                <w:color w:val="auto"/>
              </w:rPr>
            </w:pPr>
            <w:r>
              <w:rPr xmlns:w="http://schemas.openxmlformats.org/wordprocessingml/2006/main">
                <w:rFonts w:ascii="Arial" w:cs="Arial" w:eastAsia="Arial" w:hAnsi="Arial"/>
                <w:sz w:val="18"/>
                <w:szCs w:val="18"/>
                <w:color w:val="auto"/>
              </w:rPr>
              <w:t xml:space="preserve">ISIN: DE000A0H08M3</w:t>
            </w:r>
          </w:p>
        </w:tc>
        <w:tc>
          <w:tcPr>
            <w:tcW w:w="0" w:type="dxa"/>
            <w:vAlign w:val="bottom"/>
          </w:tcPr>
          <w:p>
            <w:pPr>
              <w:spacing w:after="0"/>
              <w:rPr>
                <w:sz w:val="1"/>
                <w:szCs w:val="1"/>
                <w:color w:val="auto"/>
              </w:rPr>
            </w:pPr>
          </w:p>
        </w:tc>
      </w:tr>
      <w:tr>
        <w:trPr>
          <w:trHeight w:val="184"/>
        </w:trPr>
        <w:tc>
          <w:tcPr>
            <w:tcW w:w="5340" w:type="dxa"/>
            <w:vAlign w:val="bottom"/>
            <w:vMerge w:val="continue"/>
            <w:shd w:val="clear" w:color="auto" w:fill="000000"/>
          </w:tcPr>
          <w:p>
            <w:pPr>
              <w:spacing w:after="0"/>
              <w:rPr>
                <w:sz w:val="16"/>
                <w:szCs w:val="16"/>
                <w:color w:val="auto"/>
              </w:rPr>
            </w:pPr>
          </w:p>
        </w:tc>
        <w:tc>
          <w:tcPr>
            <w:tcW w:w="5320" w:type="dxa"/>
            <w:vAlign w:val="bottom"/>
            <w:tcBorders>
              <w:right w:val="single" w:sz="8" w:color="auto"/>
            </w:tcBorders>
            <w:gridSpan w:val="2"/>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w w:val="95"/>
              </w:rPr>
              <w:t xml:space="preserve">Società di gestione: BlackRock Asset Management Deutschland</w:t>
            </w:r>
          </w:p>
        </w:tc>
        <w:tc>
          <w:tcPr>
            <w:tcW w:w="0" w:type="dxa"/>
            <w:vAlign w:val="bottom"/>
          </w:tcPr>
          <w:p>
            <w:pPr>
              <w:spacing w:after="0"/>
              <w:rPr>
                <w:sz w:val="1"/>
                <w:szCs w:val="1"/>
                <w:color w:val="auto"/>
              </w:rPr>
            </w:pPr>
          </w:p>
        </w:tc>
      </w:tr>
      <w:tr>
        <w:trPr>
          <w:trHeight w:val="105"/>
        </w:trPr>
        <w:tc>
          <w:tcPr>
            <w:tcW w:w="5340" w:type="dxa"/>
            <w:vAlign w:val="bottom"/>
            <w:vMerge w:val="restart"/>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0"/>
                <w:szCs w:val="20"/>
                <w:color w:val="FFFFFF"/>
                <w:w w:val="96"/>
              </w:rPr>
              <w:t xml:space="preserve">Un sotto-fondo di iShares (DE) I Investmentaktiengesellschaft mit</w:t>
            </w:r>
          </w:p>
        </w:tc>
        <w:tc>
          <w:tcPr>
            <w:tcW w:w="5320" w:type="dxa"/>
            <w:vAlign w:val="bottom"/>
            <w:tcBorders>
              <w:right w:val="single" w:sz="8" w:color="auto"/>
            </w:tcBorders>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9"/>
        </w:trPr>
        <w:tc>
          <w:tcPr>
            <w:tcW w:w="5340" w:type="dxa"/>
            <w:vAlign w:val="bottom"/>
            <w:vMerge w:val="continue"/>
            <w:shd w:val="clear" w:color="auto" w:fill="000000"/>
          </w:tcPr>
          <w:p>
            <w:pPr>
              <w:spacing w:after="0"/>
              <w:rPr>
                <w:sz w:val="22"/>
                <w:szCs w:val="22"/>
                <w:color w:val="auto"/>
              </w:rPr>
            </w:pPr>
          </w:p>
        </w:tc>
        <w:tc>
          <w:tcPr>
            <w:tcW w:w="176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AG</w:t>
            </w:r>
          </w:p>
        </w:tc>
        <w:tc>
          <w:tcPr>
            <w:tcW w:w="3580" w:type="dxa"/>
            <w:vAlign w:val="bottom"/>
            <w:tcBorders>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67"/>
        </w:trPr>
        <w:tc>
          <w:tcPr>
            <w:tcW w:w="5340" w:type="dxa"/>
            <w:vAlign w:val="bottom"/>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0"/>
                <w:szCs w:val="20"/>
                <w:color w:val="FFFFFF"/>
              </w:rPr>
              <w:t xml:space="preserve">Teilgesellschaftsvermögen</w:t>
            </w:r>
          </w:p>
        </w:tc>
        <w:tc>
          <w:tcPr>
            <w:tcW w:w="1760" w:type="dxa"/>
            <w:vAlign w:val="bottom"/>
          </w:tcPr>
          <w:p>
            <w:pPr>
              <w:spacing w:after="0"/>
              <w:rPr>
                <w:sz w:val="23"/>
                <w:szCs w:val="23"/>
                <w:color w:val="auto"/>
              </w:rPr>
            </w:pPr>
          </w:p>
        </w:tc>
        <w:tc>
          <w:tcPr>
            <w:tcW w:w="3580" w:type="dxa"/>
            <w:vAlign w:val="bottom"/>
            <w:tcBorders>
              <w:right w:val="single" w:sz="8" w:color="auto"/>
            </w:tcBorders>
          </w:tcPr>
          <w:p>
            <w:pPr>
              <w:spacing w:after="0"/>
              <w:rPr>
                <w:sz w:val="23"/>
                <w:szCs w:val="23"/>
                <w:color w:val="auto"/>
              </w:rPr>
            </w:pPr>
          </w:p>
        </w:tc>
        <w:tc>
          <w:tcPr>
            <w:tcW w:w="0" w:type="dxa"/>
            <w:vAlign w:val="bottom"/>
          </w:tcPr>
          <w:p>
            <w:pPr>
              <w:spacing w:after="0"/>
              <w:rPr>
                <w:sz w:val="1"/>
                <w:szCs w:val="1"/>
                <w:color w:val="auto"/>
              </w:rPr>
            </w:pPr>
          </w:p>
        </w:tc>
      </w:tr>
      <w:tr>
        <w:trPr>
          <w:trHeight w:val="44"/>
        </w:trPr>
        <w:tc>
          <w:tcPr>
            <w:tcW w:w="5340" w:type="dxa"/>
            <w:vAlign w:val="bottom"/>
            <w:tcBorders>
              <w:bottom w:val="single" w:sz="8" w:color="auto"/>
            </w:tcBorders>
            <w:shd w:val="clear" w:color="auto" w:fill="000000"/>
          </w:tcPr>
          <w:p>
            <w:pPr>
              <w:spacing w:after="0"/>
              <w:rPr>
                <w:sz w:val="3"/>
                <w:szCs w:val="3"/>
                <w:color w:val="auto"/>
              </w:rPr>
            </w:pPr>
          </w:p>
        </w:tc>
        <w:tc>
          <w:tcPr>
            <w:tcW w:w="1760" w:type="dxa"/>
            <w:vAlign w:val="bottom"/>
            <w:tcBorders>
              <w:bottom w:val="single" w:sz="8" w:color="auto"/>
            </w:tcBorders>
          </w:tcPr>
          <w:p>
            <w:pPr>
              <w:spacing w:after="0"/>
              <w:rPr>
                <w:sz w:val="3"/>
                <w:szCs w:val="3"/>
                <w:color w:val="auto"/>
              </w:rPr>
            </w:pPr>
          </w:p>
        </w:tc>
        <w:tc>
          <w:tcPr>
            <w:tcW w:w="3580" w:type="dxa"/>
            <w:vAlign w:val="bottom"/>
            <w:tcBorders>
              <w:bottom w:val="single" w:sz="8" w:color="auto"/>
              <w:right w:val="single" w:sz="8" w:color="auto"/>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4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color w:val="auto"/>
        </w:rPr>
        <w:t xml:space="preserve">Obiettivi e politica di investimento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6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Il sotto-fondo iShares STOXX Europe 600 Oil &amp; Gas UCITS ETF (DE) (il "Fondo") è un fondo negoziato in borsa gestito passivamente (ETF) che mira a monitorare l'andamento dello STOXX® Europe 600 Oil &amp; Gas (indice dei prezzi) il più da vicino possibile.</w:t>
      </w:r>
      <w:r>
        <w:rPr xmlns:w="http://schemas.openxmlformats.org/wordprocessingml/2006/main">
          <w:rFonts w:ascii="Arial" w:cs="Arial" w:eastAsia="Arial" w:hAnsi="Arial"/>
          <w:sz w:val="16"/>
          <w:szCs w:val="16"/>
          <w:color w:val="auto"/>
        </w:rPr>
        <w:t xml:space="preserve"> A tale riguardo, si prefigge di riprodurre il parametro di riferimento (indice).</w:t>
      </w:r>
    </w:p>
    <w:p>
      <w:pPr>
        <w:spacing w:after="0" w:line="28" w:lineRule="exact"/>
        <w:rPr>
          <w:sz w:val="24"/>
          <w:szCs w:val="24"/>
          <w:color w:val="auto"/>
        </w:rPr>
      </w:pPr>
    </w:p>
    <w:p>
      <w:pPr xmlns:w="http://schemas.openxmlformats.org/wordprocessingml/2006/main">
        <w:ind w:left="160" w:right="2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L'indice misura le prestazioni del settore europeo del petrolio e del gas come definito dal benchmark di classificazione industriale (ICB) ed è un sottogruppo dell'indice STOXX® Europe 600, che comprende 600 dei maggiori stock in 18 paesi europei.</w:t>
      </w:r>
      <w:r>
        <w:rPr xmlns:w="http://schemas.openxmlformats.org/wordprocessingml/2006/main">
          <w:rFonts w:ascii="Arial" w:cs="Arial" w:eastAsia="Arial" w:hAnsi="Arial"/>
          <w:sz w:val="16"/>
          <w:szCs w:val="16"/>
          <w:color w:val="auto"/>
        </w:rPr>
        <w:t xml:space="preserve"> L’indice riequilibra trimestralmente con componenti ponderate per la capitalizzazione del mercato flottante e con un massimale per mantenere la conformità agli standard di diversificazione degli OICVM.</w:t>
      </w:r>
      <w:r>
        <w:rPr xmlns:w="http://schemas.openxmlformats.org/wordprocessingml/2006/main">
          <w:rFonts w:ascii="Arial" w:cs="Arial" w:eastAsia="Arial" w:hAnsi="Arial"/>
          <w:sz w:val="16"/>
          <w:szCs w:val="16"/>
          <w:color w:val="auto"/>
        </w:rPr>
        <w:t xml:space="preserve"> La capitalizzazione libera di flottante è il valore di mercato delle azioni in circolazione di una società prontamente disponibili.</w:t>
      </w:r>
    </w:p>
    <w:p>
      <w:pPr>
        <w:spacing w:after="0" w:line="28"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Il Fondo investe principalmente in azioni per conseguire l'obiettivo di investimento.</w:t>
      </w:r>
    </w:p>
    <w:p>
      <w:pPr>
        <w:spacing w:after="0" w:line="48"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La percentuale di attività del fondo corrispondente alla ponderazione dell'indice (percentuale di duplicazione) è almeno pari al 95% degli attivi del fondo.</w:t>
      </w:r>
    </w:p>
    <w:p>
      <w:pPr>
        <w:spacing w:after="0" w:line="48" w:lineRule="exact"/>
        <w:rPr>
          <w:sz w:val="24"/>
          <w:szCs w:val="24"/>
          <w:color w:val="auto"/>
        </w:rPr>
      </w:pPr>
    </w:p>
    <w:p>
      <w:pPr xmlns:w="http://schemas.openxmlformats.org/wordprocessingml/2006/main">
        <w:ind w:left="160" w:right="3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Non è intenzione del gestore degli investimenti fare leva sul fondo.</w:t>
      </w:r>
      <w:r>
        <w:rPr xmlns:w="http://schemas.openxmlformats.org/wordprocessingml/2006/main">
          <w:rFonts w:ascii="Arial" w:cs="Arial" w:eastAsia="Arial" w:hAnsi="Arial"/>
          <w:sz w:val="16"/>
          <w:szCs w:val="16"/>
          <w:color w:val="auto"/>
        </w:rPr>
        <w:t xml:space="preserve"> Tuttavia, il Fondo può generare di volta in volta importi minimi di leva finanziaria, ad esempio se utilizza strumenti finanziari derivati (IDE) a fini di gestione efficiente del portafoglio.</w:t>
      </w:r>
    </w:p>
    <w:p>
      <w:pPr>
        <w:spacing w:after="0" w:line="28"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Raccomandazione: il Fondo è adatto ad investimenti a medio-lungo termine, anche se può essere adatto anche ad esposizioni a breve termine all'indice.</w:t>
      </w:r>
    </w:p>
    <w:p>
      <w:pPr>
        <w:spacing w:after="0" w:line="60"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auto"/>
        </w:rPr>
        <w:t xml:space="preserve">Le unità del Fondo sono unità di distribuzione.</w:t>
      </w:r>
      <w:r>
        <w:rPr xmlns:w="http://schemas.openxmlformats.org/wordprocessingml/2006/main">
          <w:rFonts w:ascii="Arial" w:cs="Arial" w:eastAsia="Arial" w:hAnsi="Arial"/>
          <w:sz w:val="16"/>
          <w:szCs w:val="16"/>
          <w:color w:val="auto"/>
        </w:rPr>
        <w:t xml:space="preserve"> I proventi degli investimenti del Fondo saranno versati almeno una volta all’anno sotto forma di dividendo.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-84455</wp:posOffset>
            </wp:positionV>
            <wp:extent cx="45720" cy="7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auto"/>
        </w:rPr>
        <w:t xml:space="preserve">Le unità del fondo sono denominate in euro.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-84455</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200" w:right="6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Le unità sono quotate in una o più borse valori.</w:t>
      </w:r>
      <w:r>
        <w:rPr xmlns:w="http://schemas.openxmlformats.org/wordprocessingml/2006/main">
          <w:rFonts w:ascii="Arial" w:cs="Arial" w:eastAsia="Arial" w:hAnsi="Arial"/>
          <w:sz w:val="16"/>
          <w:szCs w:val="16"/>
          <w:color w:val="auto"/>
        </w:rPr>
        <w:t xml:space="preserve"> Gli investitori possono acquistare o vendere le loro quote quotidianamente durante l'orario di lavoro tramite un intermediario in tale borsa (o tali borse).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-260985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40" w:right="180"/>
        <w:spacing w:after="0" w:line="320" w:lineRule="auto"/>
        <w:rPr>
          <w:sz w:val="20"/>
          <w:szCs w:val="20"/>
          <w:color w:val="auto"/>
        </w:rPr>
      </w:pPr>
      <w:r>
        <w:rPr xmlns:w="http://schemas.openxmlformats.org/wordprocessingml/2006/main">
          <w:rFonts w:ascii="Arial" w:cs="Arial" w:eastAsia="Arial" w:hAnsi="Arial"/>
          <w:sz w:val="16"/>
          <w:szCs w:val="16"/>
          <w:color w:val="auto"/>
        </w:rPr>
        <w:t xml:space="preserve">Per ulteriori informazioni sui rischi, si prega di consultare il prospetto del Fondo nel paragrafo "Avvertenze di rischio", disponibile all'indirizzo www.ishares.com (selezionare il proprio paese e passare a Documenti/Informazioni legali).</w:t>
      </w:r>
    </w:p>
    <w:p>
      <w:pPr>
        <w:spacing w:after="0" w:line="1"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color w:val="auto"/>
        </w:rPr>
        <w:t xml:space="preserve">Profilo di rischio e di rendimento</w:t>
      </w:r>
    </w:p>
    <w:p>
      <w:pPr>
        <w:sectPr>
          <w:pgSz w:w="11900" w:h="16838" w:orient="portrait"/>
          <w:cols w:equalWidth="0" w:num="1">
            <w:col w:w="10660"/>
          </w:cols>
          <w:pgMar w:left="620" w:top="573" w:right="626" w:bottom="0" w:gutter="0" w:footer="0" w:header="0"/>
        </w:sectPr>
      </w:pPr>
    </w:p>
    <w:p>
      <w:pPr>
        <w:spacing w:after="0" w:line="111" w:lineRule="exact"/>
        <w:rPr>
          <w:sz w:val="24"/>
          <w:szCs w:val="24"/>
          <w:color w:val="auto"/>
        </w:rPr>
      </w:pPr>
    </w:p>
    <w:tbl>
      <w:tblPr>
        <w:tblLayout w:type="fixed"/>
        <w:tblInd w:w="6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Rischio ridotto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Rischio più elevato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In genere premi inferiori</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In genere ricompense più elevate</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12700</wp:posOffset>
            </wp:positionV>
            <wp:extent cx="3258185" cy="3346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393065</wp:posOffset>
            </wp:positionV>
            <wp:extent cx="3329940" cy="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-323215</wp:posOffset>
            </wp:positionV>
            <wp:extent cx="676783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Questo indicatore si basa su dati storici e potrebbe non essere un'indicazione affidabile del futuro profilo di rischio del Fondo.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-261620</wp:posOffset>
            </wp:positionV>
            <wp:extent cx="45720" cy="774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La categoria di rischio indicata non è garantita e può variare nel tempo.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-83820</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La categoria più bassa non significa priva di rischio.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-84455</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Il Fondo è valutato sette a causa della natura dei suoi investimenti, che includono i rischi elencati di seguito.</w:t>
      </w:r>
      <w:r>
        <w:rPr xmlns:w="http://schemas.openxmlformats.org/wordprocessingml/2006/main">
          <w:rFonts w:ascii="Arial" w:cs="Arial" w:eastAsia="Arial" w:hAnsi="Arial"/>
          <w:sz w:val="16"/>
          <w:szCs w:val="16"/>
          <w:color w:val="auto"/>
        </w:rPr>
        <w:t xml:space="preserve"> Questi fattori possono incidere sul valore degli investimenti del Fondo o esporlo a perdite.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-427355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8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Il rischio di investimento si concentra in settori, paesi, valute o società specifici.</w:t>
      </w:r>
      <w:r>
        <w:rPr xmlns:w="http://schemas.openxmlformats.org/wordprocessingml/2006/main">
          <w:rFonts w:ascii="Arial" w:cs="Arial" w:eastAsia="Arial" w:hAnsi="Arial"/>
          <w:sz w:val="15"/>
          <w:szCs w:val="15"/>
          <w:color w:val="auto"/>
        </w:rPr>
        <w:t xml:space="preserve"> Ciò significa che il Fondo è più sensibile a qualsiasi evento economico, di mercato, politico, di sostenibilità o normativo localizzato.</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I movimenti giornalieri dei mercati azionari possono incidere sul valore degli strumenti di capitale e dei titoli azionari.</w:t>
      </w:r>
      <w:r>
        <w:rPr xmlns:w="http://schemas.openxmlformats.org/wordprocessingml/2006/main">
          <w:rFonts w:ascii="Arial" w:cs="Arial" w:eastAsia="Arial" w:hAnsi="Arial"/>
          <w:sz w:val="15"/>
          <w:szCs w:val="15"/>
          <w:color w:val="auto"/>
        </w:rPr>
        <w:t xml:space="preserve"> Altri fattori influenti comprendono notizie politiche, economiche, utili aziendali ed eventi aziendali significativi.</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Gli investimenti in titoli energetici sono soggetti a considerazioni ambientali o di sostenibilità, a imposte, alla regolamentazione pubblica, a variazioni dei prezzi e dell'offerta.</w:t>
      </w:r>
    </w:p>
    <w:p>
      <w:pPr>
        <w:spacing w:after="0" w:line="2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I rischi particolari non adeguatamente rilevati dall'indicatore di rischio comprendono: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6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Rischio di controparte: l'insolvenza di qualsiasi ente che fornisca servizi quali la custodia di attività o che agisca come controparte di derivati o altri strumenti, può esporre il Fondo a perdite finanziarie.</w:t>
      </w:r>
    </w:p>
    <w:p>
      <w:pPr>
        <w:spacing w:after="0" w:line="237" w:lineRule="exact"/>
        <w:rPr>
          <w:sz w:val="24"/>
          <w:szCs w:val="24"/>
          <w:color w:val="auto"/>
        </w:rPr>
      </w:pPr>
    </w:p>
    <w:p>
      <w:pPr>
        <w:sectPr>
          <w:pgSz w:w="11900" w:h="16838" w:orient="portrait"/>
          <w:cols w:equalWidth="0" w:num="2">
            <w:col w:w="5200" w:space="380"/>
            <w:col w:w="5080"/>
          </w:cols>
          <w:pgMar w:left="620" w:top="573" w:right="6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2"/>
          <w:szCs w:val="12"/>
          <w:color w:val="auto"/>
        </w:rPr>
        <w:t xml:space="preserve">Il valore di riferimento è la proprietà intellettuale del fornitore dell'indice.</w:t>
      </w:r>
      <w:r>
        <w:rPr xmlns:w="http://schemas.openxmlformats.org/wordprocessingml/2006/main">
          <w:rFonts w:ascii="Arial" w:cs="Arial" w:eastAsia="Arial" w:hAnsi="Arial"/>
          <w:sz w:val="12"/>
          <w:szCs w:val="12"/>
          <w:color w:val="auto"/>
        </w:rPr>
        <w:t xml:space="preserve"> Il fondo non è sponsorizzato o avallato dal fornitore dell'indice.</w:t>
      </w:r>
      <w:r>
        <w:rPr xmlns:w="http://schemas.openxmlformats.org/wordprocessingml/2006/main">
          <w:rFonts w:ascii="Arial" w:cs="Arial" w:eastAsia="Arial" w:hAnsi="Arial"/>
          <w:sz w:val="12"/>
          <w:szCs w:val="12"/>
          <w:color w:val="auto"/>
        </w:rPr>
        <w:t xml:space="preserve"> Si prega di fare riferimento al prospetto del Fondo per la clausola di esclusione della responsabilità completa.</w:t>
      </w:r>
    </w:p>
    <w:p>
      <w:pPr>
        <w:sectPr>
          <w:pgSz w:w="11900" w:h="16838" w:orient="portrait"/>
          <w:cols w:equalWidth="0" w:num="1">
            <w:col w:w="10660"/>
          </w:cols>
          <w:pgMar w:left="620" w:top="573" w:right="62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Spese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3561715</wp:posOffset>
            </wp:positionH>
            <wp:positionV relativeFrom="paragraph">
              <wp:posOffset>97155</wp:posOffset>
            </wp:positionV>
            <wp:extent cx="3208020" cy="1727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3208020" cy="17272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24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I diritti sono utilizzati per pagare i costi di gestione del Fondo, compresi i costi di commercializzazione e di distribuzione.</w:t>
      </w:r>
      <w:r>
        <w:rPr xmlns:w="http://schemas.openxmlformats.org/wordprocessingml/2006/main">
          <w:rFonts w:ascii="Arial" w:cs="Arial" w:eastAsia="Arial" w:hAnsi="Arial"/>
          <w:sz w:val="16"/>
          <w:szCs w:val="16"/>
          <w:color w:val="auto"/>
        </w:rPr>
        <w:t xml:space="preserve"> Questi costi riducono la crescita potenziale dell'investimento.</w:t>
      </w:r>
    </w:p>
    <w:p>
      <w:pPr>
        <w:spacing w:after="0" w:line="2" w:lineRule="exact"/>
        <w:rPr>
          <w:sz w:val="20"/>
          <w:szCs w:val="20"/>
          <w:color w:val="auto"/>
        </w:rPr>
      </w:pPr>
    </w:p>
    <w:p>
      <w:pPr xmlns:w="http://schemas.openxmlformats.org/wordprocessingml/2006/main">
        <w:ind w:left="60"/>
        <w:spacing w:after="0" w:line="309" w:lineRule="auto"/>
        <w:rPr>
          <w:sz w:val="20"/>
          <w:szCs w:val="20"/>
          <w:color w:val="auto"/>
        </w:rPr>
      </w:pPr>
      <w:r>
        <w:rPr xmlns:w="http://schemas.openxmlformats.org/wordprocessingml/2006/main">
          <w:rFonts w:ascii="Arial" w:cs="Arial" w:eastAsia="Arial" w:hAnsi="Arial"/>
          <w:sz w:val="16"/>
          <w:szCs w:val="16"/>
          <w:color w:val="auto"/>
        </w:rPr>
        <w:t xml:space="preserve">*Gli investitori che negoziano nelle borse pagheranno le commissioni addebitate dai loro broker azionari.</w:t>
      </w:r>
      <w:r>
        <w:rPr xmlns:w="http://schemas.openxmlformats.org/wordprocessingml/2006/main">
          <w:rFonts w:ascii="Arial" w:cs="Arial" w:eastAsia="Arial" w:hAnsi="Arial"/>
          <w:sz w:val="16"/>
          <w:szCs w:val="16"/>
          <w:color w:val="auto"/>
        </w:rPr>
        <w:t xml:space="preserve"> Tali commissioni sono pubblicamente disponibili nelle borse in cui le quote sono quotate e negoziate, o possono essere ottenute presso intermediari finanziari.</w:t>
      </w:r>
      <w:r>
        <w:rPr xmlns:w="http://schemas.openxmlformats.org/wordprocessingml/2006/main">
          <w:rFonts w:ascii="Arial" w:cs="Arial" w:eastAsia="Arial" w:hAnsi="Arial"/>
          <w:sz w:val="16"/>
          <w:szCs w:val="16"/>
          <w:color w:val="auto"/>
        </w:rPr>
        <w:t xml:space="preserve"> Se gli investitori trattano quote direttamente con il fondo o la società di gestione del fondo, il diritto di ingresso è fino al 2% e il diritto di uscita è fino all'1%.</w:t>
      </w:r>
    </w:p>
    <w:p>
      <w:pPr>
        <w:spacing w:after="0" w:line="4" w:lineRule="exact"/>
        <w:rPr>
          <w:sz w:val="20"/>
          <w:szCs w:val="20"/>
          <w:color w:val="auto"/>
        </w:rPr>
      </w:pPr>
    </w:p>
    <w:p>
      <w:pPr xmlns:w="http://schemas.openxmlformats.org/wordprocessingml/2006/main">
        <w:ind w:left="60" w:right="620"/>
        <w:spacing w:after="0" w:line="366" w:lineRule="auto"/>
        <w:rPr>
          <w:sz w:val="20"/>
          <w:szCs w:val="20"/>
          <w:color w:val="auto"/>
        </w:rPr>
      </w:pPr>
      <w:r>
        <w:rPr xmlns:w="http://schemas.openxmlformats.org/wordprocessingml/2006/main">
          <w:rFonts w:ascii="Arial" w:cs="Arial" w:eastAsia="Arial" w:hAnsi="Arial"/>
          <w:sz w:val="14"/>
          <w:szCs w:val="14"/>
          <w:color w:val="auto"/>
        </w:rPr>
        <w:t xml:space="preserve">*I partecipanti autorizzati che trattano direttamente con il fondo o la società di gestione (a seconda dei casi) pagheranno i relativi costi di transazione.</w:t>
      </w:r>
    </w:p>
    <w:p>
      <w:pPr>
        <w:spacing w:after="0" w:line="1" w:lineRule="exact"/>
        <w:rPr>
          <w:sz w:val="20"/>
          <w:szCs w:val="20"/>
          <w:color w:val="auto"/>
        </w:rPr>
      </w:pPr>
    </w:p>
    <w:p>
      <w:pPr xmlns:w="http://schemas.openxmlformats.org/wordprocessingml/2006/main">
        <w:ind w:left="60" w:right="12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Il dato relativo alle spese correnti si basa sulle spese per il periodo di dodici mesi che termina il 31 dicembre 2022.</w:t>
      </w:r>
      <w:r>
        <w:rPr xmlns:w="http://schemas.openxmlformats.org/wordprocessingml/2006/main">
          <w:rFonts w:ascii="Arial" w:cs="Arial" w:eastAsia="Arial" w:hAnsi="Arial"/>
          <w:sz w:val="15"/>
          <w:szCs w:val="15"/>
          <w:color w:val="auto"/>
        </w:rPr>
        <w:t xml:space="preserve"> Questa cifra può variare di anno in anno.</w:t>
      </w:r>
      <w:r>
        <w:rPr xmlns:w="http://schemas.openxmlformats.org/wordprocessingml/2006/main">
          <w:rFonts w:ascii="Arial" w:cs="Arial" w:eastAsia="Arial" w:hAnsi="Arial"/>
          <w:sz w:val="15"/>
          <w:szCs w:val="15"/>
          <w:color w:val="auto"/>
        </w:rPr>
        <w:t xml:space="preserve"> Sono esclusi i costi connessi alla negoziazione di portafoglio, ad eccezione dei costi pagati al depositario e di qualsiasi commissione di ingresso/uscita pagata a un regime di investimento collettivo sottostante (se del caso).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67"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Oneri una tantum assunti prima o dopo l'investimento</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Diritto d'ingresso (diritto d'ingresso 0% se scambiato il</w:t>
            </w:r>
          </w:p>
        </w:tc>
        <w:tc>
          <w:tcPr>
            <w:tcW w:w="15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2,00%*</w:t>
            </w:r>
          </w:p>
        </w:tc>
      </w:tr>
      <w:tr>
        <w:trPr>
          <w:trHeight w:val="232"/>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scambio)</w:t>
            </w:r>
          </w:p>
        </w:tc>
        <w:tc>
          <w:tcPr>
            <w:tcW w:w="1540" w:type="dxa"/>
            <w:vAlign w:val="bottom"/>
            <w:tcBorders>
              <w:right w:val="single" w:sz="8" w:color="auto"/>
            </w:tcBorders>
          </w:tcPr>
          <w:p>
            <w:pPr>
              <w:spacing w:after="0"/>
              <w:rPr>
                <w:sz w:val="20"/>
                <w:szCs w:val="20"/>
                <w:color w:val="auto"/>
              </w:rPr>
            </w:pP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Spese di uscita (spese di uscita 0% se scambiate il</w:t>
            </w:r>
          </w:p>
        </w:tc>
        <w:tc>
          <w:tcPr>
            <w:tcW w:w="15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1,00%*</w:t>
            </w:r>
          </w:p>
        </w:tc>
      </w:tr>
      <w:tr>
        <w:trPr>
          <w:trHeight w:val="232"/>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scambio)</w:t>
            </w:r>
          </w:p>
        </w:tc>
        <w:tc>
          <w:tcPr>
            <w:tcW w:w="1540" w:type="dxa"/>
            <w:vAlign w:val="bottom"/>
            <w:tcBorders>
              <w:right w:val="single" w:sz="8" w:color="auto"/>
            </w:tcBorders>
          </w:tcPr>
          <w:p>
            <w:pPr>
              <w:spacing w:after="0"/>
              <w:rPr>
                <w:sz w:val="20"/>
                <w:szCs w:val="20"/>
                <w:color w:val="auto"/>
              </w:rPr>
            </w:pP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-348615</wp:posOffset>
            </wp:positionV>
            <wp:extent cx="2245995"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-688975</wp:posOffset>
            </wp:positionV>
            <wp:extent cx="31991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5"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Questo è il massimo che potrebbe essere tolto dal vostro denaro prima che sia investito o prima che i proventi dei vostri investimenti sono pagati.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930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93040"/>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Oneri prelevati dal Fondo su base annua</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Costi correnti</w:t>
            </w:r>
          </w:p>
        </w:tc>
        <w:tc>
          <w:tcPr>
            <w:tcW w:w="560" w:type="dxa"/>
            <w:vAlign w:val="bottom"/>
          </w:tcPr>
          <w:p>
            <w:pPr>
              <w:spacing w:after="0"/>
              <w:rPr>
                <w:sz w:val="20"/>
                <w:szCs w:val="20"/>
                <w:color w:val="auto"/>
              </w:rPr>
            </w:pPr>
          </w:p>
        </w:tc>
        <w:tc>
          <w:tcPr>
            <w:tcW w:w="98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0,46%</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980" w:type="dxa"/>
            <w:vAlign w:val="bottom"/>
            <w:tcBorders>
              <w:bottom w:val="single" w:sz="8" w:color="auto"/>
              <w:right w:val="single" w:sz="8" w:color="auto"/>
            </w:tcBorders>
          </w:tcPr>
          <w:p>
            <w:pPr>
              <w:spacing w:after="0"/>
              <w:rPr>
                <w:sz w:val="2"/>
                <w:szCs w:val="2"/>
                <w:color w:val="auto"/>
              </w:rPr>
            </w:pPr>
          </w:p>
        </w:tc>
      </w:tr>
      <w:tr>
        <w:trPr>
          <w:trHeight w:val="264"/>
        </w:trPr>
        <w:tc>
          <w:tcPr>
            <w:tcW w:w="410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Oneri prelevati dal Fondo a determinate condizioni</w:t>
            </w:r>
          </w:p>
        </w:tc>
        <w:tc>
          <w:tcPr>
            <w:tcW w:w="98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Commissione sulle prestazioni</w:t>
            </w:r>
          </w:p>
        </w:tc>
        <w:tc>
          <w:tcPr>
            <w:tcW w:w="560" w:type="dxa"/>
            <w:vAlign w:val="bottom"/>
            <w:tcBorders>
              <w:bottom w:val="single" w:sz="8" w:color="auto"/>
            </w:tcBorders>
          </w:tcPr>
          <w:p>
            <w:pPr>
              <w:spacing w:after="0"/>
              <w:rPr>
                <w:sz w:val="21"/>
                <w:szCs w:val="21"/>
                <w:color w:val="auto"/>
              </w:rPr>
            </w:pPr>
          </w:p>
        </w:tc>
        <w:tc>
          <w:tcPr>
            <w:tcW w:w="98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Nessuno</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70" w:lineRule="exact"/>
        <w:rPr>
          <w:sz w:val="20"/>
          <w:szCs w:val="20"/>
          <w:color w:val="auto"/>
        </w:rPr>
      </w:pPr>
    </w:p>
    <w:p>
      <w:pPr>
        <w:sectPr>
          <w:pgSz w:w="11900" w:h="16838" w:orient="portrait"/>
          <w:cols w:equalWidth="0" w:num="2">
            <w:col w:w="5360" w:space="24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color w:val="auto"/>
        </w:rPr>
        <w:t xml:space="preserve">Prestazioni passate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Le prestazioni del passato non sono una guida per il futuro</w:t>
            </w:r>
          </w:p>
        </w:tc>
        <w:tc>
          <w:tcPr>
            <w:tcW w:w="2980" w:type="dxa"/>
            <w:vAlign w:val="bottom"/>
            <w:gridSpan w:val="6"/>
          </w:tcPr>
          <w:p>
            <w:pPr xmlns:w="http://schemas.openxmlformats.org/wordprocessingml/2006/main">
              <w:jc w:val="right"/>
              <w:ind w:right="140"/>
              <w:spacing w:after="0"/>
              <w:rPr>
                <w:sz w:val="20"/>
                <w:szCs w:val="20"/>
                <w:color w:val="auto"/>
              </w:rPr>
            </w:pPr>
            <w:r>
              <w:rPr xmlns:w="http://schemas.openxmlformats.org/wordprocessingml/2006/main">
                <w:rFonts w:ascii="Arial" w:cs="Arial" w:eastAsia="Arial" w:hAnsi="Arial"/>
                <w:sz w:val="16"/>
                <w:szCs w:val="16"/>
                <w:color w:val="auto"/>
                <w:w w:val="89"/>
              </w:rPr>
              <w:t xml:space="preserve">Risultati storici al 31 dicembre 2022</w:t>
            </w: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prestazioni.</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w w:val="99"/>
              </w:rPr>
              <w:t xml:space="preserve">Il grafico mostra i risultati annuali del Fondo in</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EUR per ogni anno civile completo nel corso del periodo</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nel grafico.</w:t>
            </w:r>
            <w:r>
              <w:rPr xmlns:w="http://schemas.openxmlformats.org/wordprocessingml/2006/main">
                <w:rFonts w:ascii="Arial" w:cs="Arial" w:eastAsia="Arial" w:hAnsi="Arial"/>
                <w:sz w:val="16"/>
                <w:szCs w:val="16"/>
                <w:color w:val="auto"/>
              </w:rPr>
              <w:t xml:space="preserve"> È espressa come</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w w:val="98"/>
              </w:rPr>
              <w:t xml:space="preserve">variazione percentuale del valore patrimoniale netto del Fondo al</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ogni fine anno.</w:t>
            </w:r>
            <w:r>
              <w:rPr xmlns:w="http://schemas.openxmlformats.org/wordprocessingml/2006/main">
                <w:rFonts w:ascii="Arial" w:cs="Arial" w:eastAsia="Arial" w:hAnsi="Arial"/>
                <w:sz w:val="16"/>
                <w:szCs w:val="16"/>
                <w:color w:val="auto"/>
              </w:rPr>
              <w:t xml:space="preserve"> Il Fondo è stato istituito nel 2002.</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Le prestazioni sono indicate dopo la deduzione delle</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spese.</w:t>
            </w:r>
            <w:r>
              <w:rPr xmlns:w="http://schemas.openxmlformats.org/wordprocessingml/2006/main">
                <w:rFonts w:ascii="Arial" w:cs="Arial" w:eastAsia="Arial" w:hAnsi="Arial"/>
                <w:sz w:val="16"/>
                <w:szCs w:val="16"/>
                <w:color w:val="auto"/>
              </w:rPr>
              <w:t xml:space="preserve"> Le eventuali spese di entrata/uscita sono escluse</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il calcolo.</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w w:val="95"/>
              </w:rPr>
              <w:t xml:space="preserve">† Parametro di riferimento:STOXX® Europe 600 Oil &amp; Gas (EUR)</w:t>
            </w: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3"/>
        </w:trPr>
        <w:tc>
          <w:tcPr>
            <w:tcW w:w="36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58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20" w:type="dxa"/>
            <w:vAlign w:val="bottom"/>
          </w:tcPr>
          <w:p>
            <w:pPr>
              <w:spacing w:after="0"/>
              <w:rPr>
                <w:sz w:val="9"/>
                <w:szCs w:val="9"/>
                <w:color w:val="auto"/>
              </w:rPr>
            </w:pP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227"/>
        </w:trPr>
        <w:tc>
          <w:tcPr>
            <w:tcW w:w="3600" w:type="dxa"/>
            <w:vAlign w:val="bottom"/>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80" w:type="dxa"/>
            <w:vAlign w:val="bottom"/>
            <w:tcBorders>
              <w:bottom w:val="single" w:sz="8" w:color="808080"/>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Fondo</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-11,1</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-2,9</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28,5</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-0,8</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10,3</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-21,9</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21,6</w:t>
            </w:r>
          </w:p>
        </w:tc>
        <w:tc>
          <w:tcPr>
            <w:tcW w:w="20" w:type="dxa"/>
            <w:vAlign w:val="bottom"/>
            <w:vMerge w:val="restart"/>
            <w:shd w:val="clear" w:color="auto" w:fill="808080"/>
          </w:tcPr>
          <w:p>
            <w:pPr>
              <w:spacing w:after="0" w:line="20" w:lineRule="exact"/>
              <w:rPr>
                <w:sz w:val="1"/>
                <w:szCs w:val="1"/>
                <w:color w:val="auto"/>
              </w:rPr>
            </w:pP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29,2</w:t>
            </w:r>
          </w:p>
        </w:tc>
        <w:tc>
          <w:tcPr>
            <w:tcW w:w="0" w:type="dxa"/>
            <w:vAlign w:val="bottom"/>
          </w:tcPr>
          <w:p>
            <w:pPr>
              <w:spacing w:after="0" w:line="20" w:lineRule="exact"/>
              <w:rPr>
                <w:sz w:val="1"/>
                <w:szCs w:val="1"/>
                <w:color w:val="auto"/>
              </w:rPr>
            </w:pPr>
          </w:p>
        </w:tc>
      </w:tr>
      <w:tr>
        <w:trPr>
          <w:trHeight w:val="144"/>
        </w:trPr>
        <w:tc>
          <w:tcPr>
            <w:tcW w:w="3600" w:type="dxa"/>
            <w:vAlign w:val="bottom"/>
          </w:tcPr>
          <w:p>
            <w:pPr>
              <w:spacing w:after="0"/>
              <w:rPr>
                <w:sz w:val="12"/>
                <w:szCs w:val="12"/>
                <w:color w:val="auto"/>
              </w:rPr>
            </w:pPr>
          </w:p>
        </w:tc>
        <w:tc>
          <w:tcPr>
            <w:tcW w:w="140" w:type="dxa"/>
            <w:vAlign w:val="bottom"/>
            <w:shd w:val="clear" w:color="auto" w:fill="FF4713"/>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3600" w:type="dxa"/>
            <w:vAlign w:val="bottom"/>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64"/>
        </w:trPr>
        <w:tc>
          <w:tcPr>
            <w:tcW w:w="3600" w:type="dxa"/>
            <w:vAlign w:val="bottom"/>
          </w:tcPr>
          <w:p>
            <w:pPr>
              <w:spacing w:after="0"/>
              <w:rPr>
                <w:sz w:val="14"/>
                <w:szCs w:val="14"/>
                <w:color w:val="auto"/>
              </w:rPr>
            </w:pPr>
          </w:p>
        </w:tc>
        <w:tc>
          <w:tcPr>
            <w:tcW w:w="140" w:type="dxa"/>
            <w:vAlign w:val="bottom"/>
            <w:shd w:val="clear" w:color="auto" w:fill="FFCE00"/>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Parametro di riferimento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8,3</w:t>
            </w: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-11,8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-3,7</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28,8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-0,8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10,0</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-22,2</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20" w:type="dxa"/>
            <w:vAlign w:val="bottom"/>
            <w:vMerge w:val="restart"/>
            <w:shd w:val="clear" w:color="auto" w:fill="808080"/>
          </w:tcPr>
          <w:p>
            <w:pPr>
              <w:spacing w:after="0"/>
              <w:rPr>
                <w:sz w:val="14"/>
                <w:szCs w:val="14"/>
                <w:color w:val="auto"/>
              </w:rPr>
            </w:pP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29,0</w:t>
            </w:r>
          </w:p>
        </w:tc>
        <w:tc>
          <w:tcPr>
            <w:tcW w:w="0" w:type="dxa"/>
            <w:vAlign w:val="bottom"/>
          </w:tcPr>
          <w:p>
            <w:pPr>
              <w:spacing w:after="0"/>
              <w:rPr>
                <w:sz w:val="1"/>
                <w:szCs w:val="1"/>
                <w:color w:val="auto"/>
              </w:rPr>
            </w:pPr>
          </w:p>
        </w:tc>
      </w:tr>
      <w:tr>
        <w:trPr>
          <w:trHeight w:val="68"/>
        </w:trPr>
        <w:tc>
          <w:tcPr>
            <w:tcW w:w="360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2773680</wp:posOffset>
            </wp:positionH>
            <wp:positionV relativeFrom="paragraph">
              <wp:posOffset>-2060575</wp:posOffset>
            </wp:positionV>
            <wp:extent cx="3977640" cy="155448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Informazioni pratiche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La banca depositaria del Fondo è la State Street Bank International GmbH.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jc w:val="both"/>
        <w:ind w:left="160" w:right="22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Ulteriori informazioni sul Fondo possono essere ottenute dalle ultime relazioni annuali e semestrali.</w:t>
      </w:r>
      <w:r>
        <w:rPr xmlns:w="http://schemas.openxmlformats.org/wordprocessingml/2006/main">
          <w:rFonts w:ascii="Arial" w:cs="Arial" w:eastAsia="Arial" w:hAnsi="Arial"/>
          <w:sz w:val="16"/>
          <w:szCs w:val="16"/>
          <w:color w:val="auto"/>
        </w:rPr>
        <w:t xml:space="preserve"> Questi documenti sono disponibili gratuitamente in tedesco, inglese e in alcune altre lingue.</w:t>
      </w:r>
      <w:r>
        <w:rPr xmlns:w="http://schemas.openxmlformats.org/wordprocessingml/2006/main">
          <w:rFonts w:ascii="Arial" w:cs="Arial" w:eastAsia="Arial" w:hAnsi="Arial"/>
          <w:sz w:val="16"/>
          <w:szCs w:val="16"/>
          <w:color w:val="auto"/>
        </w:rPr>
        <w:t xml:space="preserve"> Possono essere trovate insieme ad altre informazioni, come i prezzi unitari, inviando un'e-mail a info@iShares.de o da www.ishares.com (seleziona il tuo paese e naviga in Documenti) o chiamando il numero +49 (0) 89 42729 5858.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-390525</wp:posOffset>
            </wp:positionV>
            <wp:extent cx="45720" cy="7747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62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Il fondo è soggetto alla legge tedesca relativa all’imposta sugli investimenti (Investmentsteuergesetz).</w:t>
      </w:r>
      <w:r>
        <w:rPr xmlns:w="http://schemas.openxmlformats.org/wordprocessingml/2006/main">
          <w:rFonts w:ascii="Arial" w:cs="Arial" w:eastAsia="Arial" w:hAnsi="Arial"/>
          <w:sz w:val="15"/>
          <w:szCs w:val="15"/>
          <w:color w:val="auto"/>
        </w:rPr>
        <w:t xml:space="preserve"> Ciò potrebbe avere un impatto sull'imposta personale del vostro investimento nel Fondo.</w:t>
      </w:r>
      <w:r>
        <w:rPr xmlns:w="http://schemas.openxmlformats.org/wordprocessingml/2006/main">
          <w:rFonts w:ascii="Arial" w:cs="Arial" w:eastAsia="Arial" w:hAnsi="Arial"/>
          <w:sz w:val="15"/>
          <w:szCs w:val="15"/>
          <w:color w:val="auto"/>
        </w:rPr>
        <w:t xml:space="preserve"> Il presente documento contenente le informazioni chiave per gli investitori è specifico del fondo in quanto uno dei vari sotto-fondi di iShares (DE) I Investmentaktiengesellschaft mit Teilgesellschaftsvermögen (l’ombrello).</w:t>
      </w:r>
      <w:r>
        <w:rPr xmlns:w="http://schemas.openxmlformats.org/wordprocessingml/2006/main">
          <w:rFonts w:ascii="Arial" w:cs="Arial" w:eastAsia="Arial" w:hAnsi="Arial"/>
          <w:sz w:val="15"/>
          <w:szCs w:val="15"/>
          <w:color w:val="auto"/>
        </w:rPr>
        <w:t xml:space="preserve"> Tuttavia, il prospetto, le relazioni annuali e semestrali sono predisposti per l’intera Ombrella.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-242570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BlackRock Asset Management Deutschland AG può essere ritenuta responsabile esclusivamente sulla base di qualsiasi dichiarazione contenuta nel presente documento che sia fuorviante, imprecisa o incoerente con le parti pertinenti del prospetto del Fondo.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Il valore indicativo dell’attivo netto infragiornaliero del Fondo è disponibile all’indirizzo http://deutsche-boerse.com e/o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La società pubblicherà una ripartizione dei principali investimenti sottostanti del fondo per ciascun giorno di negoziazione tramite il sito web ufficiale iShares (www.ishares.com), fatte salve eventuali restrizioni alla pubblicazione dei dati imposte dai pertinenti fornitori di indici.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Le attività e le passività del Fondo, nonché la sua responsabilità giuridica, sono separate dagli altri sotto-fondi della Ombrella.</w:t>
      </w:r>
      <w:r>
        <w:rPr xmlns:w="http://schemas.openxmlformats.org/wordprocessingml/2006/main">
          <w:rFonts w:ascii="Arial" w:cs="Arial" w:eastAsia="Arial" w:hAnsi="Arial"/>
          <w:sz w:val="16"/>
          <w:szCs w:val="16"/>
          <w:color w:val="auto"/>
        </w:rPr>
        <w:t xml:space="preserve"> Gli investitori non possono trasferire gli investimenti ad altri sotto-fondi.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La politica retributiva della società di gestione, che descrive le modalità di determinazione e attribuzione delle retribuzioni e dei benefici, e i relativi meccanismi di governance, è disponibile all'indirizzo www.blackrock.com/Remunerationpolicy o su richiesta della sede legale della società di gestione.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2200275</wp:posOffset>
            </wp:positionV>
            <wp:extent cx="1097280" cy="4572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xmlns:w="http://schemas.openxmlformats.org/wordprocessingml/2006/main">
        <w:ind w:right="2340"/>
        <w:spacing w:after="0" w:line="302" w:lineRule="auto"/>
        <w:rPr>
          <w:sz w:val="20"/>
          <w:szCs w:val="20"/>
          <w:color w:val="auto"/>
        </w:rPr>
      </w:pPr>
      <w:r>
        <w:rPr xmlns:w="http://schemas.openxmlformats.org/wordprocessingml/2006/main">
          <w:rFonts w:ascii="Arial" w:cs="Arial" w:eastAsia="Arial" w:hAnsi="Arial"/>
          <w:sz w:val="14"/>
          <w:szCs w:val="14"/>
          <w:color w:val="auto"/>
        </w:rPr>
        <w:t xml:space="preserve">Questo fondo e BlackRock Asset Management Deutschland AG sono autorizzati in Germania e sono regolamentati dalla Federal Agency for Financial Services Supervision (BaFin).</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Queste informazioni chiave per gli investitori sono esatte al 3 febbraio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73F1984"/>
    <w:multiLevelType w:val="hybridMultilevel"/>
    <w:lvl w:ilvl="0">
      <w:lvlJc w:val="left"/>
      <w:lvlText w:val="-"/>
      <w:numFmt w:val="bullet"/>
      <w:start w:val="1"/>
    </w:lvl>
  </w:abstractNum>
  <w:abstractNum w:abstractNumId="1">
    <w:nsid w:val="3168A4B9"/>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jpe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jpe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jpeg"/><Relationship Id="rId50"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2023-05-01T14:40:28Z</dcterms:created>
  <dcterms:modified xsi:type="dcterms:W3CDTF">2023-05-01T14:40:28Z</dcterms:modified>
</cp:coreProperties>
</file>