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32"/>
          <w:szCs w:val="32"/>
          <w:color w:val="231F20"/>
        </w:rPr>
        <w:t xml:space="preserve">Έγγραφο βασικών πληροφοριών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4608195</wp:posOffset>
            </wp:positionH>
            <wp:positionV relativeFrom="paragraph">
              <wp:posOffset>-231140</wp:posOffset>
            </wp:positionV>
            <wp:extent cx="2117090" cy="46799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2117090" cy="467995"/>
                    </a:xfrm>
                    <a:prstGeom prst="rect">
                      <a:avLst/>
                    </a:prstGeom>
                    <a:noFill/>
                  </pic:spPr>
                </pic:pic>
              </a:graphicData>
            </a:graphic>
          </wp:anchor>
        </w:drawing>
      </w:r>
    </w:p>
    <w:p>
      <w:pPr>
        <w:spacing w:after="0" w:line="89"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Αντικείμενο</w:t>
      </w:r>
    </w:p>
    <w:p>
      <w:pPr>
        <w:spacing w:after="0" w:line="112" w:lineRule="exact"/>
        <w:rPr>
          <w:sz w:val="24"/>
          <w:szCs w:val="24"/>
          <w:color w:val="auto"/>
        </w:rPr>
      </w:pPr>
    </w:p>
    <w:p>
      <w:pPr xmlns:w="http://schemas.openxmlformats.org/wordprocessingml/2006/main">
        <w:ind w:left="3"/>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Αυτό το έγγραφο σας παρέχει βασικές πληροφορίες σχετικά με αυτό το επενδυτικό ταμείο.</w:t>
      </w:r>
      <w:r>
        <w:rPr xmlns:w="http://schemas.openxmlformats.org/wordprocessingml/2006/main">
          <w:rFonts w:ascii="Arial" w:cs="Arial" w:eastAsia="Arial" w:hAnsi="Arial"/>
          <w:sz w:val="16"/>
          <w:szCs w:val="16"/>
          <w:color w:val="231F20"/>
        </w:rPr>
        <w:t xml:space="preserve"> Δεν είναι υλικό μάρκετινγκ.</w:t>
      </w:r>
      <w:r>
        <w:rPr xmlns:w="http://schemas.openxmlformats.org/wordprocessingml/2006/main">
          <w:rFonts w:ascii="Arial" w:cs="Arial" w:eastAsia="Arial" w:hAnsi="Arial"/>
          <w:sz w:val="16"/>
          <w:szCs w:val="16"/>
          <w:color w:val="231F20"/>
        </w:rPr>
        <w:t xml:space="preserve"> Οι πληροφορίες απαιτούνται από το νόμο για να σας βοηθήσει να κατανοήσετε τη φύση, τους κινδύνους, το κόστος, τα πιθανά κέρδη και τις ζημίες του Ταμείου και να σας βοηθήσει να το συγκρίνετε με άλλα κεφάλαια.</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-18415</wp:posOffset>
            </wp:positionH>
            <wp:positionV relativeFrom="paragraph">
              <wp:posOffset>-27305</wp:posOffset>
            </wp:positionV>
            <wp:extent cx="7094220" cy="444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p>
    <w:p>
      <w:pPr>
        <w:spacing w:after="0" w:line="5"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Προϊόν</w:t>
      </w:r>
    </w:p>
    <w:p>
      <w:pPr>
        <w:spacing w:after="0" w:line="108"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Προϊόν:</w:t>
      </w:r>
      <w:r>
        <w:rPr xmlns:w="http://schemas.openxmlformats.org/wordprocessingml/2006/main">
          <w:rFonts w:ascii="Arial" w:cs="Arial" w:eastAsia="Arial" w:hAnsi="Arial"/>
          <w:sz w:val="16"/>
          <w:szCs w:val="16"/>
          <w:color w:val="231F20"/>
        </w:rPr>
        <w:t xml:space="preserve"> Vanguard S&amp;P 500 ΟΣΕΚΑ ETF (το "Ταμείο") - (USD) Συσσώρευση</w:t>
      </w:r>
    </w:p>
    <w:p>
      <w:pPr>
        <w:spacing w:after="0" w:line="54"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IE00BFMXXD54</w:t>
      </w:r>
    </w:p>
    <w:p>
      <w:pPr>
        <w:spacing w:after="0" w:line="46"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Vanguard Group (Ιρλανδία) Limited ("VGIL")</w:t>
      </w:r>
    </w:p>
    <w:p>
      <w:pPr>
        <w:spacing w:after="0" w:line="54"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Καλέστε στο +44 207 489 4305 για περισσότερες πληροφορίες - https://global.vanguard.com - Αυτό το Έγγραφο Βασικών Πληροφοριών φέρει ημερομηνία 13/03/2023.</w:t>
      </w:r>
    </w:p>
    <w:p>
      <w:pPr>
        <w:spacing w:after="0" w:line="50"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Η Central Bank of Ireland (η « Central Bank ») είναι υπεύθυνη για την εποπτεία του VGIL σε σχέση με το παρόν έγγραφο βασικών πληροφοριών.</w:t>
      </w:r>
    </w:p>
    <w:p>
      <w:pPr>
        <w:spacing w:after="0" w:line="50"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Το Ταμείο έχει λάβει άδεια λειτουργίας στην Ιρλανδία και έχει καταχωριστεί προς πώληση σε άλλα κράτη μέλη του ΕΟΧ.</w:t>
      </w:r>
    </w:p>
    <w:p>
      <w:pPr>
        <w:spacing w:after="0" w:line="46"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Πρόκειται να αγοράσετε ένα Ταμείο που δεν είναι απλό και μπορεί να είναι δύσκολο να κατανοηθεί.</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-18415</wp:posOffset>
            </wp:positionH>
            <wp:positionV relativeFrom="paragraph">
              <wp:posOffset>4445</wp:posOffset>
            </wp:positionV>
            <wp:extent cx="7094220" cy="444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p>
    <w:p>
      <w:pPr>
        <w:sectPr>
          <w:pgSz w:w="11900" w:h="16838" w:orient="portrait"/>
          <w:cols w:equalWidth="0" w:num="1">
            <w:col w:w="11103"/>
          </w:cols>
          <w:pgMar w:left="397" w:top="552" w:right="406" w:bottom="1440" w:gutter="0" w:footer="0" w:header="0"/>
        </w:sectPr>
      </w:pPr>
    </w:p>
    <w:p>
      <w:pPr>
        <w:spacing w:after="0" w:line="88"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Τι είναι αυτό το προϊόν;</w:t>
      </w:r>
    </w:p>
    <w:p>
      <w:pPr>
        <w:spacing w:after="0" w:line="108" w:lineRule="exact"/>
        <w:rPr>
          <w:sz w:val="24"/>
          <w:szCs w:val="24"/>
          <w:color w:val="auto"/>
        </w:rPr>
      </w:pPr>
    </w:p>
    <w:p>
      <w:pPr xmlns:w="http://schemas.openxmlformats.org/wordprocessingml/2006/main">
        <w:jc w:val="both"/>
        <w:ind w:left="3"/>
        <w:spacing w:after="0" w:line="253" w:lineRule="auto"/>
        <w:rPr>
          <w:sz w:val="20"/>
          <w:szCs w:val="20"/>
          <w:color w:val="auto"/>
        </w:rPr>
      </w:pPr>
      <w:r>
        <w:rPr xmlns:w="http://schemas.openxmlformats.org/wordprocessingml/2006/main">
          <w:rFonts w:ascii="Arial" w:cs="Arial" w:eastAsia="Arial" w:hAnsi="Arial"/>
          <w:sz w:val="16"/>
          <w:szCs w:val="16"/>
          <w:b w:val="1"/>
          <w:bCs w:val="1"/>
          <w:color w:val="231F20"/>
        </w:rPr>
        <w:t xml:space="preserve">Τύπος:</w:t>
      </w:r>
      <w:r>
        <w:rPr xmlns:w="http://schemas.openxmlformats.org/wordprocessingml/2006/main">
          <w:rFonts w:ascii="Arial" w:cs="Arial" w:eastAsia="Arial" w:hAnsi="Arial"/>
          <w:sz w:val="16"/>
          <w:szCs w:val="16"/>
          <w:color w:val="231F20"/>
        </w:rPr>
        <w:t xml:space="preserve"> Το Αμοιβαίο κεφάλαιο είναι επιμέρους κεφάλαιο της Vanguard Funds plc ("VF"), ενός ΟΣΕΚΑ που έχει λάβει άδεια από την Κεντρική Τράπεζα της Ιρλανδίας.</w:t>
      </w:r>
    </w:p>
    <w:p>
      <w:pPr>
        <w:spacing w:after="0" w:line="6" w:lineRule="exact"/>
        <w:rPr>
          <w:sz w:val="24"/>
          <w:szCs w:val="24"/>
          <w:color w:val="auto"/>
        </w:rPr>
      </w:pPr>
    </w:p>
    <w:p>
      <w:pPr xmlns:w="http://schemas.openxmlformats.org/wordprocessingml/2006/main">
        <w:jc w:val="both"/>
        <w:ind w:left="3"/>
        <w:spacing w:after="0" w:line="227" w:lineRule="auto"/>
        <w:rPr>
          <w:sz w:val="20"/>
          <w:szCs w:val="20"/>
          <w:color w:val="auto"/>
        </w:rPr>
      </w:pPr>
      <w:r>
        <w:rPr xmlns:w="http://schemas.openxmlformats.org/wordprocessingml/2006/main">
          <w:rFonts w:ascii="Arial" w:cs="Arial" w:eastAsia="Arial" w:hAnsi="Arial"/>
          <w:sz w:val="16"/>
          <w:szCs w:val="16"/>
          <w:b w:val="1"/>
          <w:bCs w:val="1"/>
          <w:color w:val="231F20"/>
        </w:rPr>
        <w:t xml:space="preserve">Όρος:</w:t>
      </w:r>
      <w:r>
        <w:rPr xmlns:w="http://schemas.openxmlformats.org/wordprocessingml/2006/main">
          <w:rFonts w:ascii="Arial" w:cs="Arial" w:eastAsia="Arial" w:hAnsi="Arial"/>
          <w:sz w:val="16"/>
          <w:szCs w:val="16"/>
          <w:color w:val="231F20"/>
        </w:rPr>
        <w:t xml:space="preserve"> Το Ταμείο δεν έχει καθορισμένη ημερομηνία λήξης, ωστόσο μπορεί να καταγγελθεί σε ορισμένες περιπτώσεις, όπως περιγράφεται στο ενημερωτικό δελτίο της VF (το «Ενημερωτικό δελτίο»), συμπεριλαμβανομένης της περίπτωσης που η καθαρή αξία ενεργητικού του Ταμείου υπολείπεται των 100 εκατομμυρίων δολαρίων ΗΠΑ ή του ισοδύναμου ποσού σε άλλο νόμισμα.</w:t>
      </w:r>
    </w:p>
    <w:p>
      <w:pPr>
        <w:spacing w:after="0" w:line="18" w:lineRule="exact"/>
        <w:rPr>
          <w:sz w:val="24"/>
          <w:szCs w:val="24"/>
          <w:color w:val="auto"/>
        </w:rPr>
      </w:pPr>
    </w:p>
    <w:p>
      <w:pPr xmlns:w="http://schemas.openxmlformats.org/wordprocessingml/2006/main">
        <w:jc w:val="both"/>
        <w:ind w:left="3"/>
        <w:spacing w:after="0" w:line="234" w:lineRule="auto"/>
        <w:rPr>
          <w:sz w:val="20"/>
          <w:szCs w:val="20"/>
          <w:color w:val="auto"/>
        </w:rPr>
      </w:pPr>
      <w:r>
        <w:rPr xmlns:w="http://schemas.openxmlformats.org/wordprocessingml/2006/main">
          <w:rFonts w:ascii="Arial" w:cs="Arial" w:eastAsia="Arial" w:hAnsi="Arial"/>
          <w:sz w:val="16"/>
          <w:szCs w:val="16"/>
          <w:b w:val="1"/>
          <w:bCs w:val="1"/>
          <w:color w:val="231F20"/>
        </w:rPr>
        <w:t xml:space="preserve">Στόχοι:</w:t>
      </w:r>
      <w:r>
        <w:rPr xmlns:w="http://schemas.openxmlformats.org/wordprocessingml/2006/main">
          <w:rFonts w:ascii="Arial" w:cs="Arial" w:eastAsia="Arial" w:hAnsi="Arial"/>
          <w:sz w:val="16"/>
          <w:szCs w:val="16"/>
          <w:color w:val="231F20"/>
        </w:rPr>
        <w:t xml:space="preserve"> Το Ταμείο χρησιμοποιεί μια παθητική προσέγγιση διαχείρισης - ή δεικτοδότησης - επενδύσεων, μέσω της φυσικής απόκτησης τίτλων, και επιδιώκει να παρακολουθήσει την απόδοση του δείκτη 500 της Standard and Poor's (ο «δείκτης»).</w:t>
      </w:r>
    </w:p>
    <w:p>
      <w:pPr>
        <w:spacing w:after="0" w:line="20"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Ο Δείκτης αποτελείται από μεγάλα αποθέματα εταιρειών στις ΗΠΑ.</w:t>
      </w:r>
    </w:p>
    <w:p>
      <w:pPr>
        <w:spacing w:after="0" w:line="50"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Το Ταμείο προσπαθεί:</w:t>
      </w:r>
    </w:p>
    <w:p>
      <w:pPr>
        <w:spacing w:after="0" w:line="31" w:lineRule="exact"/>
        <w:rPr>
          <w:sz w:val="24"/>
          <w:szCs w:val="24"/>
          <w:color w:val="auto"/>
        </w:rPr>
      </w:pPr>
    </w:p>
    <w:p>
      <w:pPr xmlns:w="http://schemas.openxmlformats.org/wordprocessingml/2006/main">
        <w:jc w:val="both"/>
        <w:ind w:left="3" w:hanging="3"/>
        <w:spacing w:after="0" w:line="222" w:lineRule="auto"/>
        <w:tabs>
          <w:tab w:leader="none" w:pos="243" w:val="left"/>
        </w:tabs>
        <w:numPr>
          <w:ilvl w:val="0"/>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Παρακολουθήστε τις επιδόσεις του δείκτη επενδύοντας σε όλους τους συστατικούς τίτλους του δείκτη στην ίδια αναλογία με τον δείκτη.</w:t>
      </w:r>
      <w:r>
        <w:rPr xmlns:w="http://schemas.openxmlformats.org/wordprocessingml/2006/main">
          <w:rFonts w:ascii="Arial" w:cs="Arial" w:eastAsia="Arial" w:hAnsi="Arial"/>
          <w:sz w:val="16"/>
          <w:szCs w:val="16"/>
          <w:color w:val="231F20"/>
        </w:rPr>
        <w:t xml:space="preserve"> Όπου δεν είναι εφικτό να αναπαραχθεί πλήρως, το Ταμείο θα χρησιμοποιεί διαδικασία δειγματοληψίας.</w:t>
      </w:r>
    </w:p>
    <w:p>
      <w:pPr>
        <w:spacing w:after="0" w:line="1" w:lineRule="exact"/>
        <w:rPr>
          <w:rFonts w:ascii="Arial" w:cs="Arial" w:eastAsia="Arial" w:hAnsi="Arial"/>
          <w:sz w:val="16"/>
          <w:szCs w:val="16"/>
          <w:color w:val="231F20"/>
        </w:rPr>
      </w:pPr>
    </w:p>
    <w:p>
      <w:pPr xmlns:w="http://schemas.openxmlformats.org/wordprocessingml/2006/main">
        <w:jc w:val="both"/>
        <w:ind w:left="3" w:hanging="3"/>
        <w:spacing w:after="0" w:line="222" w:lineRule="auto"/>
        <w:tabs>
          <w:tab w:leader="none" w:pos="202" w:val="left"/>
        </w:tabs>
        <w:numPr>
          <w:ilvl w:val="0"/>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Παραμένουν πλήρως επενδυμένα εκτός από εξαιρετικές συνθήκες αγοράς, πολιτικές ή παρόμοιες, όπου το Ταμείο μπορεί προσωρινά να παρεκκλίνει από αυτήν την επενδυτική πολιτική για την αποφυγή ζημιών.</w:t>
      </w:r>
    </w:p>
    <w:p>
      <w:pPr>
        <w:spacing w:after="0" w:line="21" w:lineRule="exact"/>
        <w:rPr>
          <w:sz w:val="24"/>
          <w:szCs w:val="24"/>
          <w:color w:val="auto"/>
        </w:rPr>
      </w:pPr>
    </w:p>
    <w:p>
      <w:pPr xmlns:w="http://schemas.openxmlformats.org/wordprocessingml/2006/main">
        <w:jc w:val="both"/>
        <w:ind w:left="3"/>
        <w:spacing w:after="0" w:line="232" w:lineRule="auto"/>
        <w:rPr>
          <w:sz w:val="20"/>
          <w:szCs w:val="20"/>
          <w:color w:val="auto"/>
        </w:rPr>
      </w:pPr>
      <w:r>
        <w:rPr xmlns:w="http://schemas.openxmlformats.org/wordprocessingml/2006/main">
          <w:rFonts w:ascii="Arial" w:cs="Arial" w:eastAsia="Arial" w:hAnsi="Arial"/>
          <w:sz w:val="16"/>
          <w:szCs w:val="16"/>
          <w:color w:val="231F20"/>
        </w:rPr>
        <w:t xml:space="preserve">Το Ταμείο επενδύει σε τίτλους που εκφράζονται σε νομίσματα διαφορετικά από το νόμισμα εισαγωγής.</w:t>
      </w:r>
      <w:r>
        <w:rPr xmlns:w="http://schemas.openxmlformats.org/wordprocessingml/2006/main">
          <w:rFonts w:ascii="Arial" w:cs="Arial" w:eastAsia="Arial" w:hAnsi="Arial"/>
          <w:sz w:val="16"/>
          <w:szCs w:val="16"/>
          <w:color w:val="231F20"/>
        </w:rPr>
        <w:t xml:space="preserve"> Οι κινήσεις στις συναλλαγματικές ισοτιμίες μπορούν να επηρεάσουν την απόδοση των επενδύσεων.</w:t>
      </w:r>
    </w:p>
    <w:p>
      <w:pPr>
        <w:spacing w:after="0" w:line="20" w:lineRule="exact"/>
        <w:rPr>
          <w:sz w:val="24"/>
          <w:szCs w:val="24"/>
          <w:color w:val="auto"/>
        </w:rPr>
      </w:pPr>
    </w:p>
    <w:p>
      <w:pPr xmlns:w="http://schemas.openxmlformats.org/wordprocessingml/2006/main">
        <w:jc w:val="both"/>
        <w:ind w:left="3"/>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Το Ταμείο μπορεί να χρησιμοποιεί παράγωγα προκειμένου να μειώσει τον κίνδυνο ή το κόστος και/ή να δημιουργήσει επιπλέον εισόδημα ή ανάπτυξη.</w:t>
      </w:r>
      <w:r>
        <w:rPr xmlns:w="http://schemas.openxmlformats.org/wordprocessingml/2006/main">
          <w:rFonts w:ascii="Arial" w:cs="Arial" w:eastAsia="Arial" w:hAnsi="Arial"/>
          <w:sz w:val="16"/>
          <w:szCs w:val="16"/>
          <w:color w:val="231F20"/>
        </w:rPr>
        <w:t xml:space="preserve"> Ένα παράγωγο είναι ένα χρηματοοικονομικό συμβόλαιο του οποίου η αξία βασίζεται στην αξία ενός χρηματοοικονομικού περιουσιακού στοιχείου (όπως μετοχή, ομόλογο ή νόμισμα) ή ένας δείκτης αγοράς.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-18415</wp:posOffset>
            </wp:positionH>
            <wp:positionV relativeFrom="paragraph">
              <wp:posOffset>48895</wp:posOffset>
            </wp:positionV>
            <wp:extent cx="7094220" cy="444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256" w:lineRule="exact"/>
        <w:rPr>
          <w:sz w:val="24"/>
          <w:szCs w:val="24"/>
          <w:color w:val="auto"/>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Οι μετοχές του Ταμείου μπορούν να αγοράζονται ή να πωλούνται ή να ανταλλάσσονται σε καθημερινή βάση (εκτός από ορισμένες τράπεζες / αργίες και με την επιφύλαξη ορισμένων περιορισμών που περιγράφονται στο Προσάρτημα 1 του Ενημερωτικού Δελτίου) με την υποβολή γραπτής αίτησης.</w:t>
      </w:r>
    </w:p>
    <w:p>
      <w:pPr>
        <w:spacing w:after="0" w:line="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231F20"/>
        </w:rPr>
        <w:t xml:space="preserve">0</w:t>
      </w:r>
    </w:p>
    <w:p>
      <w:pPr>
        <w:spacing w:after="0" w:line="27" w:lineRule="exact"/>
        <w:rPr>
          <w:sz w:val="24"/>
          <w:szCs w:val="24"/>
          <w:color w:val="auto"/>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Η VF είναι ένα κεντρικό αμοιβαίο κεφάλαιο με χωριστή υποχρέωση μεταξύ επιμέρους αμοιβαίων κεφαλαίων.</w:t>
      </w:r>
      <w:r>
        <w:rPr xmlns:w="http://schemas.openxmlformats.org/wordprocessingml/2006/main">
          <w:rFonts w:ascii="Arial" w:cs="Arial" w:eastAsia="Arial" w:hAnsi="Arial"/>
          <w:sz w:val="16"/>
          <w:szCs w:val="16"/>
          <w:color w:val="231F20"/>
        </w:rPr>
        <w:t xml:space="preserve"> Αυτό σημαίνει ότι οι συμμετοχές του Ταμείου διατηρούνται χωριστά σύμφωνα με την ιρλανδική νομοθεσία από τις συμμετοχές άλλων υποκεφαλαίων της VF και η επένδυσή σας στο Ταμείο δεν θα επηρεαστεί από οποιεσδήποτε απαιτήσεις έναντι οποιουδήποτε άλλου υποκεφαλαίου της VF.</w:t>
      </w:r>
    </w:p>
    <w:p>
      <w:pPr>
        <w:spacing w:after="0" w:line="17" w:lineRule="exact"/>
        <w:rPr>
          <w:sz w:val="24"/>
          <w:szCs w:val="24"/>
          <w:color w:val="auto"/>
        </w:rPr>
      </w:pPr>
    </w:p>
    <w:p>
      <w:pPr xmlns:w="http://schemas.openxmlformats.org/wordprocessingml/2006/main">
        <w:jc w:val="both"/>
        <w:spacing w:after="0" w:line="234" w:lineRule="auto"/>
        <w:rPr>
          <w:sz w:val="20"/>
          <w:szCs w:val="20"/>
          <w:color w:val="auto"/>
        </w:rPr>
      </w:pPr>
      <w:r>
        <w:rPr xmlns:w="http://schemas.openxmlformats.org/wordprocessingml/2006/main">
          <w:rFonts w:ascii="Arial" w:cs="Arial" w:eastAsia="Arial" w:hAnsi="Arial"/>
          <w:sz w:val="16"/>
          <w:szCs w:val="16"/>
          <w:b w:val="1"/>
          <w:bCs w:val="1"/>
          <w:color w:val="231F20"/>
        </w:rPr>
        <w:t xml:space="preserve">Επιδιωκόμενος ιδιώτης επενδυτής:</w:t>
      </w:r>
      <w:r>
        <w:rPr xmlns:w="http://schemas.openxmlformats.org/wordprocessingml/2006/main">
          <w:rFonts w:ascii="Arial" w:cs="Arial" w:eastAsia="Arial" w:hAnsi="Arial"/>
          <w:sz w:val="16"/>
          <w:szCs w:val="16"/>
          <w:color w:val="231F20"/>
        </w:rPr>
        <w:t xml:space="preserve"> Το Ταμείο διατίθεται σε ευρύ φάσμα επενδυτών που αναζητούν πρόσβαση σε χαρτοφυλάκιο το οποίο διαχειρίζεται σύμφωνα με συγκεκριμένο επενδυτικό στόχο και πολιτική.</w:t>
      </w:r>
    </w:p>
    <w:p>
      <w:pPr>
        <w:spacing w:after="0" w:line="93" w:lineRule="exact"/>
        <w:rPr>
          <w:sz w:val="24"/>
          <w:szCs w:val="24"/>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Ο θεματοφύλακας της VF είναι η Brown Brothers Harriman Trustee Services (Ireland) Limited.</w:t>
      </w:r>
    </w:p>
    <w:p>
      <w:pPr>
        <w:spacing w:after="0" w:line="14" w:lineRule="exact"/>
        <w:rPr>
          <w:sz w:val="24"/>
          <w:szCs w:val="24"/>
          <w:color w:val="auto"/>
        </w:rPr>
      </w:pPr>
    </w:p>
    <w:p>
      <w:pPr xmlns:w="http://schemas.openxmlformats.org/wordprocessingml/2006/main">
        <w:jc w:val="both"/>
        <w:spacing w:after="0" w:line="216" w:lineRule="auto"/>
        <w:rPr>
          <w:rFonts w:ascii="Arial" w:cs="Arial" w:eastAsia="Arial" w:hAnsi="Arial"/>
          <w:sz w:val="16"/>
          <w:szCs w:val="16"/>
          <w:color w:val="0000FF"/>
        </w:rPr>
      </w:pPr>
      <w:r>
        <w:rPr xmlns:w="http://schemas.openxmlformats.org/wordprocessingml/2006/main">
          <w:rFonts w:ascii="Arial" w:cs="Arial" w:eastAsia="Arial" w:hAnsi="Arial"/>
          <w:sz w:val="16"/>
          <w:szCs w:val="16"/>
          <w:color w:val="231F20"/>
        </w:rPr>
        <w:t xml:space="preserve">Μπορείτε να αποκτήσετε αντίγραφα του ενημερωτικού δελτίου και της τελευταίας ετήσιας και εξαμηνιαίας έκθεσης και λογαριασμών για την Vanguard Funds plc ("VF") μαζί με τις τελευταίες δημοσιευμένες τιμές των μετοχών και άλλες πρακτικές πληροφορίες, από την VF c/o Brown Brothers Harriman Fund Administration Services (Ireland) Limited, 30 Herbert Street, Dublin </w:t>
      </w:r>
      <w:hyperlink r:id="rId16">
        <w:r>
          <w:rPr xmlns:w="http://schemas.openxmlformats.org/wordprocessingml/2006/main">
            <w:rFonts w:ascii="Arial" w:cs="Arial" w:eastAsia="Arial" w:hAnsi="Arial"/>
            <w:sz w:val="16"/>
            <w:szCs w:val="16"/>
            <w:color w:val="231F20"/>
          </w:rPr>
          <w:t xml:space="preserve">2, D02 W329, Ireland ή από την ιστοσελίδα μας στο</w:t>
        </w:r>
      </w:hyperlink>
      <w:hyperlink r:id="rId16">
        <w:r>
          <w:rPr xmlns:w="http://schemas.openxmlformats.org/wordprocessingml/2006/main">
            <w:rFonts w:ascii="Arial" w:cs="Arial" w:eastAsia="Arial" w:hAnsi="Arial"/>
            <w:sz w:val="16"/>
            <w:szCs w:val="16"/>
            <w:color w:val="0000FF"/>
          </w:rPr>
          <w:t xml:space="preserve"> https:// </w:t>
        </w:r>
      </w:hyperlink>
      <w:hyperlink r:id="rId16">
        <w:r>
          <w:rPr xmlns:w="http://schemas.openxmlformats.org/wordprocessingml/2006/main">
            <w:rFonts w:ascii="Arial" w:cs="Arial" w:eastAsia="Arial" w:hAnsi="Arial"/>
            <w:sz w:val="16"/>
            <w:szCs w:val="16"/>
            <w:color w:val="0000FF"/>
          </w:rPr>
          <w:t xml:space="preserve">global.vanguard.com</w:t>
        </w:r>
      </w:hyperlink>
      <w:hyperlink r:id="rId16">
        <w:r>
          <w:rPr xmlns:w="http://schemas.openxmlformats.org/wordprocessingml/2006/main">
            <w:rFonts w:ascii="Arial" w:cs="Arial" w:eastAsia="Arial" w:hAnsi="Arial"/>
            <w:sz w:val="16"/>
            <w:szCs w:val="16"/>
            <w:color w:val="231F20"/>
          </w:rPr>
          <w:t xml:space="preserve">.</w:t>
        </w:r>
      </w:hyperlink>
      <w:hyperlink r:id="rId16">
        <w:r>
          <w:rPr xmlns:w="http://schemas.openxmlformats.org/wordprocessingml/2006/main">
            <w:rFonts w:ascii="Arial" w:cs="Arial" w:eastAsia="Arial" w:hAnsi="Arial"/>
            <w:sz w:val="16"/>
            <w:szCs w:val="16"/>
            <w:color w:val="231F20"/>
          </w:rPr>
          <w:t xml:space="preserve"> Πληροφορίες σχετικά με την πολιτική γνωστοποίησης του χαρτοφυλακίου του Ταμείου </w:t>
        </w:r>
      </w:hyperlink>
      <w:hyperlink r:id="rId17">
        <w:r>
          <w:rPr xmlns:w="http://schemas.openxmlformats.org/wordprocessingml/2006/main">
            <w:rFonts w:ascii="Arial" w:cs="Arial" w:eastAsia="Arial" w:hAnsi="Arial"/>
            <w:sz w:val="16"/>
            <w:szCs w:val="16"/>
            <w:color w:val="231F20"/>
          </w:rPr>
          <w:t xml:space="preserve">και τη δημοσίευση του iNAV διατίθενται στη διεύθυνση</w:t>
        </w:r>
      </w:hyperlink>
      <w:hyperlink r:id="rId17">
        <w:r>
          <w:rPr xmlns:w="http://schemas.openxmlformats.org/wordprocessingml/2006/main">
            <w:rFonts w:ascii="Arial" w:cs="Arial" w:eastAsia="Arial" w:hAnsi="Arial"/>
            <w:sz w:val="16"/>
            <w:szCs w:val="16"/>
            <w:color w:val="0000FF"/>
          </w:rPr>
          <w:t xml:space="preserve"> https://global.vanguard.com/ </w:t>
        </w:r>
      </w:hyperlink>
      <w:hyperlink r:id="rId17">
        <w:r>
          <w:rPr xmlns:w="http://schemas.openxmlformats.org/wordprocessingml/2006/main">
            <w:rFonts w:ascii="Arial" w:cs="Arial" w:eastAsia="Arial" w:hAnsi="Arial"/>
            <w:sz w:val="16"/>
            <w:szCs w:val="16"/>
            <w:color w:val="0000FF"/>
          </w:rPr>
          <w:t xml:space="preserve">portal/site/portal/οσεκα-documentation</w:t>
        </w:r>
      </w:hyperlink>
      <w:hyperlink r:id="rId17">
        <w:r>
          <w:rPr xmlns:w="http://schemas.openxmlformats.org/wordprocessingml/2006/main">
            <w:rFonts w:ascii="Arial" w:cs="Arial" w:eastAsia="Arial" w:hAnsi="Arial"/>
            <w:sz w:val="16"/>
            <w:szCs w:val="16"/>
            <w:color w:val="231F20"/>
          </w:rPr>
          <w:t xml:space="preserve">.</w:t>
        </w:r>
      </w:hyperlink>
      <w:hyperlink r:id="rId17">
        <w:r>
          <w:rPr xmlns:w="http://schemas.openxmlformats.org/wordprocessingml/2006/main">
            <w:rFonts w:ascii="Arial" w:cs="Arial" w:eastAsia="Arial" w:hAnsi="Arial"/>
            <w:sz w:val="16"/>
            <w:szCs w:val="16"/>
            <w:color w:val="231F20"/>
          </w:rPr>
          <w:t xml:space="preserve"> Τα έγγραφα διατίθενται στα </w:t>
        </w:r>
      </w:hyperlink>
      <w:r>
        <w:rPr xmlns:w="http://schemas.openxmlformats.org/wordprocessingml/2006/main">
          <w:rFonts w:ascii="Arial" w:cs="Arial" w:eastAsia="Arial" w:hAnsi="Arial"/>
          <w:sz w:val="16"/>
          <w:szCs w:val="16"/>
          <w:color w:val="231F20"/>
        </w:rPr>
        <w:t xml:space="preserve">αγγλικά και διατίθενται δωρεάν.</w:t>
      </w:r>
    </w:p>
    <w:p>
      <w:pPr>
        <w:spacing w:after="0" w:line="425" w:lineRule="exact"/>
        <w:rPr>
          <w:rFonts w:ascii="Arial" w:cs="Arial" w:eastAsia="Arial" w:hAnsi="Arial"/>
          <w:sz w:val="16"/>
          <w:szCs w:val="16"/>
          <w:color w:val="0000FF"/>
        </w:rPr>
      </w:pPr>
    </w:p>
    <w:p>
      <w:pPr>
        <w:sectPr>
          <w:pgSz w:w="11900" w:h="16838" w:orient="portrait"/>
          <w:cols w:equalWidth="0" w:num="2">
            <w:col w:w="5423" w:space="260"/>
            <w:col w:w="5420"/>
          </w:cols>
          <w:pgMar w:left="397" w:top="552" w:right="406" w:bottom="1440" w:gutter="0" w:footer="0" w:header="0"/>
          <w:type w:val="continuous"/>
        </w:sect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Ποιοι είναι οι κίνδυνοι και τι θα μπορούσα να πάρω ως αντάλλαγμα;</w:t>
      </w:r>
    </w:p>
    <w:p>
      <w:pPr>
        <w:spacing w:after="0" w:line="118" w:lineRule="exact"/>
        <w:rPr>
          <w:rFonts w:ascii="Arial" w:cs="Arial" w:eastAsia="Arial" w:hAnsi="Arial"/>
          <w:sz w:val="16"/>
          <w:szCs w:val="16"/>
          <w:color w:val="0000FF"/>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Δείκτης κινδύνου</w:t>
      </w:r>
    </w:p>
    <w:p>
      <w:pPr>
        <w:spacing w:after="0" w:line="20" w:lineRule="exact"/>
        <w:rPr>
          <w:rFonts w:ascii="Arial" w:cs="Arial" w:eastAsia="Arial" w:hAnsi="Arial"/>
          <w:sz w:val="16"/>
          <w:szCs w:val="16"/>
          <w:color w:val="0000FF"/>
        </w:rPr>
      </w:pPr>
      <w:r>
        <w:rPr>
          <w:rFonts w:ascii="Arial" w:cs="Arial" w:eastAsia="Arial" w:hAnsi="Arial"/>
          <w:sz w:val="16"/>
          <w:szCs w:val="16"/>
          <w:color w:val="0000FF"/>
        </w:rPr>
        <w:drawing>
          <wp:anchor simplePos="0" relativeHeight="251657728" behindDoc="1" locked="0" layoutInCell="0" allowOverlap="1">
            <wp:simplePos x="0" y="0"/>
            <wp:positionH relativeFrom="column">
              <wp:posOffset>17145</wp:posOffset>
            </wp:positionH>
            <wp:positionV relativeFrom="paragraph">
              <wp:posOffset>161290</wp:posOffset>
            </wp:positionV>
            <wp:extent cx="3407410" cy="3949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extLst>
                    </a:blip>
                    <a:srcRect/>
                    <a:stretch>
                      <a:fillRect/>
                    </a:stretch>
                  </pic:blipFill>
                  <pic:spPr bwMode="auto">
                    <a:xfrm>
                      <a:off x="0" y="0"/>
                      <a:ext cx="3407410" cy="394970"/>
                    </a:xfrm>
                    <a:prstGeom prst="rect">
                      <a:avLst/>
                    </a:prstGeom>
                    <a:noFill/>
                  </pic:spPr>
                </pic:pic>
              </a:graphicData>
            </a:graphic>
          </wp:anchor>
        </w:drawing>
      </w:r>
    </w:p>
    <w:p>
      <w:pPr>
        <w:spacing w:after="0" w:line="379" w:lineRule="exact"/>
        <w:rPr>
          <w:rFonts w:ascii="Arial" w:cs="Arial" w:eastAsia="Arial" w:hAnsi="Arial"/>
          <w:sz w:val="16"/>
          <w:szCs w:val="16"/>
          <w:color w:val="0000FF"/>
        </w:rPr>
      </w:pPr>
    </w:p>
    <w:tbl>
      <w:tblPr>
        <w:tblLayout w:type="fixed"/>
        <w:tblInd w:w="63" w:type="dxa"/>
        <w:tblCellMar>
          <w:top w:w="0" w:type="dxa"/>
          <w:left w:w="0" w:type="dxa"/>
          <w:bottom w:w="0" w:type="dxa"/>
          <w:right w:w="0" w:type="dxa"/>
        </w:tblCellMar>
      </w:tblPr>
      <w:tr>
        <w:trPr>
          <w:trHeight w:val="325"/>
        </w:trPr>
        <w:tc>
          <w:tcPr>
            <w:tcW w:w="880" w:type="dxa"/>
            <w:vAlign w:val="bottom"/>
            <w:gridSpan w:val="2"/>
          </w:tcPr>
          <w:p>
            <w:pPr xmlns:w="http://schemas.openxmlformats.org/wordprocessingml/2006/main">
              <w:jc w:val="right"/>
              <w:ind w:right="440"/>
              <w:spacing w:after="0"/>
              <w:rPr>
                <w:sz w:val="20"/>
                <w:szCs w:val="20"/>
                <w:color w:val="auto"/>
              </w:rPr>
            </w:pPr>
            <w:r>
              <w:rPr xmlns:w="http://schemas.openxmlformats.org/wordprocessingml/2006/main">
                <w:rFonts w:ascii="Arial" w:cs="Arial" w:eastAsia="Arial" w:hAnsi="Arial"/>
                <w:sz w:val="24"/>
                <w:szCs w:val="24"/>
                <w:color w:val="auto"/>
              </w:rPr>
              <w:t xml:space="preserve">1</w:t>
            </w:r>
          </w:p>
        </w:tc>
        <w:tc>
          <w:tcPr>
            <w:tcW w:w="640" w:type="dxa"/>
            <w:vAlign w:val="bottom"/>
          </w:tcPr>
          <w:p>
            <w:pPr xmlns:w="http://schemas.openxmlformats.org/wordprocessingml/2006/main">
              <w:jc w:val="right"/>
              <w:ind w:right="200"/>
              <w:spacing w:after="0"/>
              <w:rPr>
                <w:sz w:val="20"/>
                <w:szCs w:val="20"/>
                <w:color w:val="auto"/>
              </w:rPr>
            </w:pPr>
            <w:r>
              <w:rPr xmlns:w="http://schemas.openxmlformats.org/wordprocessingml/2006/main">
                <w:rFonts w:ascii="Arial" w:cs="Arial" w:eastAsia="Arial" w:hAnsi="Arial"/>
                <w:sz w:val="24"/>
                <w:szCs w:val="24"/>
                <w:color w:val="auto"/>
              </w:rPr>
              <w:t xml:space="preserve">2</w:t>
            </w:r>
          </w:p>
        </w:tc>
        <w:tc>
          <w:tcPr>
            <w:tcW w:w="74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color w:val="auto"/>
              </w:rPr>
              <w:t xml:space="preserve">3</w:t>
            </w:r>
          </w:p>
        </w:tc>
        <w:tc>
          <w:tcPr>
            <w:tcW w:w="76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color w:val="auto"/>
              </w:rPr>
              <w:t xml:space="preserve">4</w:t>
            </w:r>
          </w:p>
        </w:tc>
        <w:tc>
          <w:tcPr>
            <w:tcW w:w="760" w:type="dxa"/>
            <w:vAlign w:val="bottom"/>
          </w:tcPr>
          <w:p>
            <w:pPr xmlns:w="http://schemas.openxmlformats.org/wordprocessingml/2006/main">
              <w:jc w:val="right"/>
              <w:ind w:right="200"/>
              <w:spacing w:after="0"/>
              <w:rPr>
                <w:sz w:val="20"/>
                <w:szCs w:val="20"/>
                <w:color w:val="auto"/>
              </w:rPr>
            </w:pPr>
            <w:r>
              <w:rPr xmlns:w="http://schemas.openxmlformats.org/wordprocessingml/2006/main">
                <w:rFonts w:ascii="Arial" w:cs="Arial" w:eastAsia="Arial" w:hAnsi="Arial"/>
                <w:sz w:val="24"/>
                <w:szCs w:val="24"/>
                <w:color w:val="FFFFFF"/>
              </w:rPr>
              <w:t xml:space="preserve">5</w:t>
            </w:r>
          </w:p>
        </w:tc>
        <w:tc>
          <w:tcPr>
            <w:tcW w:w="620" w:type="dxa"/>
            <w:vAlign w:val="bottom"/>
          </w:tcPr>
          <w:p>
            <w:pPr xmlns:w="http://schemas.openxmlformats.org/wordprocessingml/2006/main">
              <w:jc w:val="right"/>
              <w:ind w:right="60"/>
              <w:spacing w:after="0"/>
              <w:rPr>
                <w:sz w:val="20"/>
                <w:szCs w:val="20"/>
                <w:color w:val="auto"/>
              </w:rPr>
            </w:pPr>
            <w:r>
              <w:rPr xmlns:w="http://schemas.openxmlformats.org/wordprocessingml/2006/main">
                <w:rFonts w:ascii="Arial" w:cs="Arial" w:eastAsia="Arial" w:hAnsi="Arial"/>
                <w:sz w:val="24"/>
                <w:szCs w:val="24"/>
                <w:color w:val="auto"/>
              </w:rPr>
              <w:t xml:space="preserve">6</w:t>
            </w:r>
          </w:p>
        </w:tc>
        <w:tc>
          <w:tcPr>
            <w:tcW w:w="86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Arial" w:cs="Arial" w:eastAsia="Arial" w:hAnsi="Arial"/>
                <w:sz w:val="24"/>
                <w:szCs w:val="24"/>
                <w:color w:val="auto"/>
              </w:rPr>
              <w:t xml:space="preserve">7</w:t>
            </w:r>
          </w:p>
        </w:tc>
        <w:tc>
          <w:tcPr>
            <w:tcW w:w="60" w:type="dxa"/>
            <w:vAlign w:val="bottom"/>
          </w:tcPr>
          <w:p>
            <w:pPr>
              <w:spacing w:after="0"/>
              <w:rPr>
                <w:sz w:val="24"/>
                <w:szCs w:val="24"/>
                <w:color w:val="auto"/>
              </w:rPr>
            </w:pPr>
          </w:p>
        </w:tc>
      </w:tr>
      <w:tr>
        <w:trPr>
          <w:trHeight w:val="396"/>
        </w:trPr>
        <w:tc>
          <w:tcPr>
            <w:tcW w:w="40" w:type="dxa"/>
            <w:vAlign w:val="bottom"/>
          </w:tcPr>
          <w:p>
            <w:pPr>
              <w:spacing w:after="0"/>
              <w:rPr>
                <w:sz w:val="24"/>
                <w:szCs w:val="24"/>
                <w:color w:val="auto"/>
              </w:rPr>
            </w:pPr>
          </w:p>
        </w:tc>
        <w:tc>
          <w:tcPr>
            <w:tcW w:w="840" w:type="dxa"/>
            <w:vAlign w:val="bottom"/>
            <w:tcBorders>
              <w:bottom w:val="single" w:sz="8" w:color="auto"/>
            </w:tcBorders>
          </w:tcPr>
          <w:p>
            <w:pPr>
              <w:spacing w:after="0"/>
              <w:rPr>
                <w:sz w:val="24"/>
                <w:szCs w:val="24"/>
                <w:color w:val="auto"/>
              </w:rPr>
            </w:pPr>
          </w:p>
        </w:tc>
        <w:tc>
          <w:tcPr>
            <w:tcW w:w="640" w:type="dxa"/>
            <w:vAlign w:val="bottom"/>
            <w:tcBorders>
              <w:bottom w:val="single" w:sz="8" w:color="auto"/>
            </w:tcBorders>
          </w:tcPr>
          <w:p>
            <w:pPr>
              <w:spacing w:after="0"/>
              <w:rPr>
                <w:sz w:val="24"/>
                <w:szCs w:val="24"/>
                <w:color w:val="auto"/>
              </w:rPr>
            </w:pPr>
          </w:p>
        </w:tc>
        <w:tc>
          <w:tcPr>
            <w:tcW w:w="740" w:type="dxa"/>
            <w:vAlign w:val="bottom"/>
            <w:tcBorders>
              <w:bottom w:val="single" w:sz="8" w:color="auto"/>
            </w:tcBorders>
          </w:tcPr>
          <w:p>
            <w:pPr>
              <w:spacing w:after="0"/>
              <w:rPr>
                <w:sz w:val="24"/>
                <w:szCs w:val="24"/>
                <w:color w:val="auto"/>
              </w:rPr>
            </w:pPr>
          </w:p>
        </w:tc>
        <w:tc>
          <w:tcPr>
            <w:tcW w:w="760" w:type="dxa"/>
            <w:vAlign w:val="bottom"/>
            <w:tcBorders>
              <w:bottom w:val="single" w:sz="8" w:color="auto"/>
            </w:tcBorders>
          </w:tcPr>
          <w:p>
            <w:pPr>
              <w:spacing w:after="0"/>
              <w:rPr>
                <w:sz w:val="24"/>
                <w:szCs w:val="24"/>
                <w:color w:val="auto"/>
              </w:rPr>
            </w:pPr>
          </w:p>
        </w:tc>
        <w:tc>
          <w:tcPr>
            <w:tcW w:w="760" w:type="dxa"/>
            <w:vAlign w:val="bottom"/>
            <w:tcBorders>
              <w:bottom w:val="single" w:sz="8" w:color="auto"/>
            </w:tcBorders>
          </w:tcPr>
          <w:p>
            <w:pPr>
              <w:spacing w:after="0"/>
              <w:rPr>
                <w:sz w:val="24"/>
                <w:szCs w:val="24"/>
                <w:color w:val="auto"/>
              </w:rPr>
            </w:pPr>
          </w:p>
        </w:tc>
        <w:tc>
          <w:tcPr>
            <w:tcW w:w="620" w:type="dxa"/>
            <w:vAlign w:val="bottom"/>
            <w:tcBorders>
              <w:bottom w:val="single" w:sz="8" w:color="auto"/>
            </w:tcBorders>
          </w:tcPr>
          <w:p>
            <w:pPr>
              <w:spacing w:after="0"/>
              <w:rPr>
                <w:sz w:val="24"/>
                <w:szCs w:val="24"/>
                <w:color w:val="auto"/>
              </w:rPr>
            </w:pPr>
          </w:p>
        </w:tc>
        <w:tc>
          <w:tcPr>
            <w:tcW w:w="860" w:type="dxa"/>
            <w:vAlign w:val="bottom"/>
            <w:tcBorders>
              <w:bottom w:val="single" w:sz="8" w:color="auto"/>
            </w:tcBorders>
          </w:tcPr>
          <w:p>
            <w:pPr>
              <w:spacing w:after="0"/>
              <w:rPr>
                <w:sz w:val="24"/>
                <w:szCs w:val="24"/>
                <w:color w:val="auto"/>
              </w:rPr>
            </w:pPr>
          </w:p>
        </w:tc>
        <w:tc>
          <w:tcPr>
            <w:tcW w:w="60" w:type="dxa"/>
            <w:vAlign w:val="bottom"/>
          </w:tcPr>
          <w:p>
            <w:pPr>
              <w:spacing w:after="0"/>
              <w:rPr>
                <w:sz w:val="24"/>
                <w:szCs w:val="24"/>
                <w:color w:val="auto"/>
              </w:rPr>
            </w:pPr>
          </w:p>
        </w:tc>
      </w:tr>
      <w:tr>
        <w:trPr>
          <w:trHeight w:val="283"/>
        </w:trPr>
        <w:tc>
          <w:tcPr>
            <w:tcW w:w="880" w:type="dxa"/>
            <w:vAlign w:val="bottom"/>
            <w:gridSpan w:val="2"/>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14"/>
                <w:szCs w:val="14"/>
                <w:b w:val="1"/>
                <w:bCs w:val="1"/>
                <w:color w:val="231F20"/>
                <w:w w:val="97"/>
              </w:rPr>
              <w:t xml:space="preserve">Μείωση κινδύνου</w:t>
            </w:r>
          </w:p>
        </w:tc>
        <w:tc>
          <w:tcPr>
            <w:tcW w:w="6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900" w:type="dxa"/>
            <w:vAlign w:val="bottom"/>
            <w:gridSpan w:val="2"/>
          </w:tcPr>
          <w:p>
            <w:pPr xmlns:w="http://schemas.openxmlformats.org/wordprocessingml/2006/main">
              <w:jc w:val="center"/>
              <w:ind w:left="65"/>
              <w:spacing w:after="0"/>
              <w:rPr>
                <w:sz w:val="20"/>
                <w:szCs w:val="20"/>
                <w:color w:val="auto"/>
              </w:rPr>
            </w:pPr>
            <w:r>
              <w:rPr xmlns:w="http://schemas.openxmlformats.org/wordprocessingml/2006/main">
                <w:rFonts w:ascii="Arial" w:cs="Arial" w:eastAsia="Arial" w:hAnsi="Arial"/>
                <w:sz w:val="14"/>
                <w:szCs w:val="14"/>
                <w:b w:val="1"/>
                <w:bCs w:val="1"/>
                <w:color w:val="231F20"/>
              </w:rPr>
              <w:t xml:space="preserve">Υψηλότερος κίνδυνος</w:t>
            </w:r>
          </w:p>
        </w:tc>
      </w:tr>
    </w:tbl>
    <w:p>
      <w:pPr>
        <w:spacing w:after="0" w:line="20" w:lineRule="exact"/>
        <w:rPr>
          <w:rFonts w:ascii="Arial" w:cs="Arial" w:eastAsia="Arial" w:hAnsi="Arial"/>
          <w:sz w:val="16"/>
          <w:szCs w:val="16"/>
          <w:color w:val="0000FF"/>
        </w:rPr>
      </w:pPr>
      <w:r>
        <w:rPr>
          <w:rFonts w:ascii="Arial" w:cs="Arial" w:eastAsia="Arial" w:hAnsi="Arial"/>
          <w:sz w:val="16"/>
          <w:szCs w:val="16"/>
          <w:color w:val="0000FF"/>
        </w:rPr>
        <w:drawing>
          <wp:anchor simplePos="0" relativeHeight="251657728" behindDoc="1" locked="0" layoutInCell="0" allowOverlap="1">
            <wp:simplePos x="0" y="0"/>
            <wp:positionH relativeFrom="column">
              <wp:posOffset>36830</wp:posOffset>
            </wp:positionH>
            <wp:positionV relativeFrom="paragraph">
              <wp:posOffset>-241300</wp:posOffset>
            </wp:positionV>
            <wp:extent cx="79375" cy="1098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extLst>
                    </a:blip>
                    <a:srcRect/>
                    <a:stretch>
                      <a:fillRect/>
                    </a:stretch>
                  </pic:blipFill>
                  <pic:spPr bwMode="auto">
                    <a:xfrm>
                      <a:off x="0" y="0"/>
                      <a:ext cx="79375" cy="109855"/>
                    </a:xfrm>
                    <a:prstGeom prst="rect">
                      <a:avLst/>
                    </a:prstGeom>
                    <a:noFill/>
                  </pic:spPr>
                </pic:pic>
              </a:graphicData>
            </a:graphic>
          </wp:anchor>
        </w:drawing>
        <w:drawing>
          <wp:anchor simplePos="0" relativeHeight="251657728" behindDoc="1" locked="0" layoutInCell="0" allowOverlap="1">
            <wp:simplePos x="0" y="0"/>
            <wp:positionH relativeFrom="column">
              <wp:posOffset>3319780</wp:posOffset>
            </wp:positionH>
            <wp:positionV relativeFrom="paragraph">
              <wp:posOffset>-241300</wp:posOffset>
            </wp:positionV>
            <wp:extent cx="79375" cy="1098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extLst>
                    </a:blip>
                    <a:srcRect/>
                    <a:stretch>
                      <a:fillRect/>
                    </a:stretch>
                  </pic:blipFill>
                  <pic:spPr bwMode="auto">
                    <a:xfrm>
                      <a:off x="0" y="0"/>
                      <a:ext cx="79375" cy="109855"/>
                    </a:xfrm>
                    <a:prstGeom prst="rect">
                      <a:avLst/>
                    </a:prstGeom>
                    <a:noFill/>
                  </pic:spPr>
                </pic:pic>
              </a:graphicData>
            </a:graphic>
          </wp:anchor>
        </w:drawing>
        <w:drawing>
          <wp:anchor simplePos="0" relativeHeight="251657728" behindDoc="1" locked="0" layoutInCell="0" allowOverlap="1">
            <wp:simplePos x="0" y="0"/>
            <wp:positionH relativeFrom="column">
              <wp:posOffset>-71120</wp:posOffset>
            </wp:positionH>
            <wp:positionV relativeFrom="paragraph">
              <wp:posOffset>69850</wp:posOffset>
            </wp:positionV>
            <wp:extent cx="617855" cy="5029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extLst>
                    </a:blip>
                    <a:srcRect/>
                    <a:stretch>
                      <a:fillRect/>
                    </a:stretch>
                  </pic:blipFill>
                  <pic:spPr bwMode="auto">
                    <a:xfrm>
                      <a:off x="0" y="0"/>
                      <a:ext cx="617855" cy="502920"/>
                    </a:xfrm>
                    <a:prstGeom prst="rect">
                      <a:avLst/>
                    </a:prstGeom>
                    <a:noFill/>
                  </pic:spPr>
                </pic:pic>
              </a:graphicData>
            </a:graphic>
          </wp:anchor>
        </w:drawing>
      </w:r>
    </w:p>
    <w:p>
      <w:pPr>
        <w:spacing w:after="0" w:line="176" w:lineRule="exact"/>
        <w:rPr>
          <w:rFonts w:ascii="Arial" w:cs="Arial" w:eastAsia="Arial" w:hAnsi="Arial"/>
          <w:sz w:val="16"/>
          <w:szCs w:val="16"/>
          <w:color w:val="0000FF"/>
        </w:rPr>
      </w:pPr>
    </w:p>
    <w:p>
      <w:pPr xmlns:w="http://schemas.openxmlformats.org/wordprocessingml/2006/main">
        <w:jc w:val="both"/>
        <w:ind w:left="823" w:right="140"/>
        <w:spacing w:after="0" w:line="260" w:lineRule="auto"/>
        <w:rPr>
          <w:sz w:val="20"/>
          <w:szCs w:val="20"/>
          <w:color w:val="auto"/>
        </w:rPr>
      </w:pPr>
      <w:r>
        <w:rPr xmlns:w="http://schemas.openxmlformats.org/wordprocessingml/2006/main">
          <w:rFonts w:ascii="Arial" w:cs="Arial" w:eastAsia="Arial" w:hAnsi="Arial"/>
          <w:sz w:val="18"/>
          <w:szCs w:val="18"/>
          <w:color w:val="231F20"/>
        </w:rPr>
        <w:t xml:space="preserve">Ο δείκτης κινδύνου υποθέτει ότι θα κρατήσει το Ταμείο για 5 χρόνια.</w:t>
      </w:r>
      <w:r>
        <w:rPr xmlns:w="http://schemas.openxmlformats.org/wordprocessingml/2006/main">
          <w:rFonts w:ascii="Arial" w:cs="Arial" w:eastAsia="Arial" w:hAnsi="Arial"/>
          <w:sz w:val="18"/>
          <w:szCs w:val="18"/>
          <w:color w:val="231F20"/>
        </w:rPr>
        <w:t xml:space="preserve"> Ο πραγματικός κίνδυνος μπορεί να ποικίλει σημαντικά αν μετρητά σε ένα πρώιμο στάδιο και μπορεί να πάρει πίσω λιγότερο.</w:t>
      </w:r>
    </w:p>
    <w:p>
      <w:pPr>
        <w:spacing w:after="0" w:line="289" w:lineRule="exact"/>
        <w:rPr>
          <w:rFonts w:ascii="Arial" w:cs="Arial" w:eastAsia="Arial" w:hAnsi="Arial"/>
          <w:sz w:val="16"/>
          <w:szCs w:val="16"/>
          <w:color w:val="0000FF"/>
        </w:rPr>
      </w:pPr>
    </w:p>
    <w:p>
      <w:pPr xmlns:w="http://schemas.openxmlformats.org/wordprocessingml/2006/main">
        <w:jc w:val="both"/>
        <w:ind w:left="3"/>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Μπορεί να μην μπορείς να εξαργυρώσεις νωρίς.</w:t>
      </w:r>
      <w:r>
        <w:rPr xmlns:w="http://schemas.openxmlformats.org/wordprocessingml/2006/main">
          <w:rFonts w:ascii="Arial" w:cs="Arial" w:eastAsia="Arial" w:hAnsi="Arial"/>
          <w:sz w:val="16"/>
          <w:szCs w:val="16"/>
          <w:color w:val="231F20"/>
        </w:rPr>
        <w:t xml:space="preserve"> Μπορεί να χρειαστεί να πληρώσετε σημαντικά πρόσθετα έξοδα για μετρητά σε πρόωρη βάση.</w:t>
      </w:r>
      <w:r>
        <w:rPr xmlns:w="http://schemas.openxmlformats.org/wordprocessingml/2006/main">
          <w:rFonts w:ascii="Arial" w:cs="Arial" w:eastAsia="Arial" w:hAnsi="Arial"/>
          <w:sz w:val="16"/>
          <w:szCs w:val="16"/>
          <w:color w:val="231F20"/>
        </w:rPr>
        <w:t xml:space="preserve"> Μπορεί να μην είστε σε θέση να πουλήσετε τις μετοχές σας στο Ταμείο εύκολα ή μπορεί να χρειαστεί να πουλήσετε σε τιμή που επηρεάζει σημαντικά το πόσο θα πάρετε πίσω.</w:t>
      </w:r>
    </w:p>
    <w:p>
      <w:pPr>
        <w:spacing w:after="0" w:line="21" w:lineRule="exact"/>
        <w:rPr>
          <w:rFonts w:ascii="Arial" w:cs="Arial" w:eastAsia="Arial" w:hAnsi="Arial"/>
          <w:sz w:val="16"/>
          <w:szCs w:val="16"/>
          <w:color w:val="0000FF"/>
        </w:rPr>
      </w:pPr>
    </w:p>
    <w:p>
      <w:pPr xmlns:w="http://schemas.openxmlformats.org/wordprocessingml/2006/main">
        <w:jc w:val="both"/>
        <w:ind w:left="3"/>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Ο συνοπτικός δείκτης κινδύνου είναι ένας οδηγός για το επίπεδο κινδύνου του εν λόγω Ταμείου σε σύγκριση με άλλα Ταμεία.</w:t>
      </w:r>
      <w:r>
        <w:rPr xmlns:w="http://schemas.openxmlformats.org/wordprocessingml/2006/main">
          <w:rFonts w:ascii="Arial" w:cs="Arial" w:eastAsia="Arial" w:hAnsi="Arial"/>
          <w:sz w:val="16"/>
          <w:szCs w:val="16"/>
          <w:color w:val="231F20"/>
        </w:rPr>
        <w:t xml:space="preserve"> Δείχνει πόσο πιθανό είναι να χάσει το Ταμείο</w:t>
      </w:r>
    </w:p>
    <w:p>
      <w:pPr xmlns:w="http://schemas.openxmlformats.org/wordprocessingml/2006/main">
        <w:spacing w:after="0" w:line="20" w:lineRule="exact"/>
        <w:rPr>
          <w:rFonts w:ascii="Arial" w:cs="Arial" w:eastAsia="Arial" w:hAnsi="Arial"/>
          <w:sz w:val="16"/>
          <w:szCs w:val="16"/>
          <w:color w:val="0000FF"/>
        </w:rPr>
      </w:pPr>
      <w:r>
        <w:rPr xmlns:w="http://schemas.openxmlformats.org/wordprocessingml/2006/main">
          <w:rFonts w:ascii="Arial" w:cs="Arial" w:eastAsia="Arial" w:hAnsi="Arial"/>
          <w:sz w:val="16"/>
          <w:szCs w:val="16"/>
          <w:color w:val="0000FF"/>
        </w:rPr>
        <w:br xmlns:w="http://schemas.openxmlformats.org/wordprocessingml/2006/main" w:type="column"/>
      </w:r>
    </w:p>
    <w:p>
      <w:pPr>
        <w:spacing w:after="0" w:line="368" w:lineRule="exact"/>
        <w:rPr>
          <w:rFonts w:ascii="Arial" w:cs="Arial" w:eastAsia="Arial" w:hAnsi="Arial"/>
          <w:sz w:val="16"/>
          <w:szCs w:val="16"/>
          <w:color w:val="0000FF"/>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χρήματα λόγω των κινήσεων στις αγορές ή επειδή δεν είμαστε σε θέση να σας πληρώσουμε.</w:t>
      </w:r>
    </w:p>
    <w:p>
      <w:pPr>
        <w:spacing w:after="0" w:line="14" w:lineRule="exact"/>
        <w:rPr>
          <w:rFonts w:ascii="Arial" w:cs="Arial" w:eastAsia="Arial" w:hAnsi="Arial"/>
          <w:sz w:val="16"/>
          <w:szCs w:val="16"/>
          <w:color w:val="0000FF"/>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Έχουμε κατατάξει αυτό το Ταμείο σε 5 από 7, που είναι μια κατηγορία μεσαίου κινδύνου.</w:t>
      </w:r>
      <w:r>
        <w:rPr xmlns:w="http://schemas.openxmlformats.org/wordprocessingml/2006/main">
          <w:rFonts w:ascii="Arial" w:cs="Arial" w:eastAsia="Arial" w:hAnsi="Arial"/>
          <w:sz w:val="16"/>
          <w:szCs w:val="16"/>
          <w:color w:val="231F20"/>
        </w:rPr>
        <w:t xml:space="preserve"> Αυτό αξιολογεί τις πιθανές απώλειες από τις μελλοντικές επιδόσεις σε ένα μέσο-υψηλό επίπεδο, και οι κακές συνθήκες της αγοράς θα επηρεάσουν πιθανότατα την ικανότητα του Ταμείου να σας πληρώσει.</w:t>
      </w:r>
    </w:p>
    <w:p>
      <w:pPr>
        <w:spacing w:after="0" w:line="17" w:lineRule="exact"/>
        <w:rPr>
          <w:rFonts w:ascii="Arial" w:cs="Arial" w:eastAsia="Arial" w:hAnsi="Arial"/>
          <w:sz w:val="16"/>
          <w:szCs w:val="16"/>
          <w:color w:val="0000FF"/>
        </w:rPr>
      </w:pPr>
    </w:p>
    <w:p>
      <w:pPr xmlns:w="http://schemas.openxmlformats.org/wordprocessingml/2006/main">
        <w:jc w:val="both"/>
        <w:spacing w:after="0" w:line="231" w:lineRule="auto"/>
        <w:rPr>
          <w:sz w:val="20"/>
          <w:szCs w:val="20"/>
          <w:color w:val="auto"/>
        </w:rPr>
      </w:pPr>
      <w:r>
        <w:rPr xmlns:w="http://schemas.openxmlformats.org/wordprocessingml/2006/main">
          <w:rFonts w:ascii="Arial" w:cs="Arial" w:eastAsia="Arial" w:hAnsi="Arial"/>
          <w:sz w:val="16"/>
          <w:szCs w:val="16"/>
          <w:b w:val="1"/>
          <w:bCs w:val="1"/>
          <w:color w:val="231F20"/>
        </w:rPr>
        <w:t xml:space="preserve">Να είστε ενήμεροι για τους συναλλαγματικούς κινδύνους.</w:t>
      </w:r>
      <w:r>
        <w:rPr xmlns:w="http://schemas.openxmlformats.org/wordprocessingml/2006/main">
          <w:rFonts w:ascii="Arial" w:cs="Arial" w:eastAsia="Arial" w:hAnsi="Arial"/>
          <w:sz w:val="16"/>
          <w:szCs w:val="16"/>
          <w:b w:val="1"/>
          <w:bCs w:val="1"/>
          <w:color w:val="231F20"/>
        </w:rPr>
        <w:t xml:space="preserve"> Μπορείτε να λάβετε πληρωμές σε διαφορετικό νόμισμα από το βασικό νόμισμα του Ταμείου, έτσι ώστε η τελική απόδοση που θα πάρετε εξαρτάται από τη συναλλαγματική ισοτιμία μεταξύ των δύο νομισμάτων.</w:t>
      </w:r>
      <w:r>
        <w:rPr xmlns:w="http://schemas.openxmlformats.org/wordprocessingml/2006/main">
          <w:rFonts w:ascii="Arial" w:cs="Arial" w:eastAsia="Arial" w:hAnsi="Arial"/>
          <w:sz w:val="16"/>
          <w:szCs w:val="16"/>
          <w:b w:val="1"/>
          <w:bCs w:val="1"/>
          <w:color w:val="231F20"/>
        </w:rPr>
        <w:t xml:space="preserve"> Ο κίνδυνος αυτός δεν λαμβάνεται υπόψη στον προαναφερόμενο δείκτη.</w:t>
      </w:r>
    </w:p>
    <w:p>
      <w:pPr>
        <w:spacing w:after="0" w:line="83" w:lineRule="exact"/>
        <w:rPr>
          <w:rFonts w:ascii="Arial" w:cs="Arial" w:eastAsia="Arial" w:hAnsi="Arial"/>
          <w:sz w:val="16"/>
          <w:szCs w:val="16"/>
          <w:color w:val="0000FF"/>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Πέραν των κινδύνων αγοράς που περιλαμβάνονται στον δείκτη κινδύνου, άλλοι κίνδυνοι ενδέχεται να επηρεάσουν το Ταμείο, συμπεριλαμβανομένου του κινδύνου αντισυμβαλλομένου, του κινδύνου παρακολούθησης του δείκτη και του επενδυτικού κινδύνου.</w:t>
      </w:r>
    </w:p>
    <w:p>
      <w:pPr>
        <w:spacing w:after="0" w:line="14" w:lineRule="exact"/>
        <w:rPr>
          <w:rFonts w:ascii="Arial" w:cs="Arial" w:eastAsia="Arial" w:hAnsi="Arial"/>
          <w:sz w:val="16"/>
          <w:szCs w:val="16"/>
          <w:color w:val="0000FF"/>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Για περισσότερες πληροφορίες σχετικά με τους κινδύνους ανατρέξτε στην ενότητα «Παράγοντες κινδύνου» του ενημερωτικού δελτίου στην ιστοσελίδα μας στη διεύθυνση https://global.vanguard.com</w:t>
      </w:r>
    </w:p>
    <w:p>
      <w:pPr>
        <w:spacing w:after="0" w:line="4" w:lineRule="exact"/>
        <w:rPr>
          <w:rFonts w:ascii="Arial" w:cs="Arial" w:eastAsia="Arial" w:hAnsi="Arial"/>
          <w:sz w:val="16"/>
          <w:szCs w:val="16"/>
          <w:color w:val="0000FF"/>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Αυτό το Ταμείο δεν περιλαμβάνει καμία προστασία από τις μελλοντικές επιδόσεις της αγοράς, ώστε να μπορείτε να χάσετε μέρος ή το σύνολο της επένδυσής σας.</w:t>
      </w:r>
    </w:p>
    <w:p>
      <w:pPr>
        <w:spacing w:after="0" w:line="13" w:lineRule="exact"/>
        <w:rPr>
          <w:rFonts w:ascii="Arial" w:cs="Arial" w:eastAsia="Arial" w:hAnsi="Arial"/>
          <w:sz w:val="16"/>
          <w:szCs w:val="16"/>
          <w:color w:val="0000FF"/>
        </w:rPr>
      </w:pPr>
    </w:p>
    <w:p>
      <w:pPr xmlns:w="http://schemas.openxmlformats.org/wordprocessingml/2006/main">
        <w:jc w:val="both"/>
        <w:spacing w:after="0" w:line="232" w:lineRule="auto"/>
        <w:rPr>
          <w:sz w:val="20"/>
          <w:szCs w:val="20"/>
          <w:color w:val="auto"/>
        </w:rPr>
      </w:pPr>
      <w:r>
        <w:rPr xmlns:w="http://schemas.openxmlformats.org/wordprocessingml/2006/main">
          <w:rFonts w:ascii="Arial" w:cs="Arial" w:eastAsia="Arial" w:hAnsi="Arial"/>
          <w:sz w:val="16"/>
          <w:szCs w:val="16"/>
          <w:color w:val="231F20"/>
        </w:rPr>
        <w:t xml:space="preserve">Η αξία των μετοχών και των τίτλων που σχετίζονται με μετοχές μπορεί να επηρεαστεί από τις καθημερινές κινήσεις των χρηματιστηριακών αγορών.</w:t>
      </w:r>
      <w:r>
        <w:rPr xmlns:w="http://schemas.openxmlformats.org/wordprocessingml/2006/main">
          <w:rFonts w:ascii="Arial" w:cs="Arial" w:eastAsia="Arial" w:hAnsi="Arial"/>
          <w:sz w:val="16"/>
          <w:szCs w:val="16"/>
          <w:color w:val="231F20"/>
        </w:rPr>
        <w:t xml:space="preserve"> Άλλοι σημαντικοί παράγοντες περιλαμβάνουν πολιτικά γεγονότα, οικονομικές ειδήσεις, κέρδη εταιριών και σημαντικά επιχειρηματικά γεγονότα.</w:t>
      </w:r>
    </w:p>
    <w:p>
      <w:pPr>
        <w:sectPr>
          <w:pgSz w:w="11900" w:h="16838" w:orient="portrait"/>
          <w:cols w:equalWidth="0" w:num="2">
            <w:col w:w="5423" w:space="260"/>
            <w:col w:w="5420"/>
          </w:cols>
          <w:pgMar w:left="397" w:top="552" w:right="406" w:bottom="1440" w:gutter="0" w:footer="0" w:header="0"/>
          <w:type w:val="continuous"/>
        </w:sectPr>
      </w:pPr>
    </w:p>
    <w:bookmarkStart w:id="1" w:name="page2"/>
    <w:bookmarkEnd w:id="1"/>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233045</wp:posOffset>
            </wp:positionH>
            <wp:positionV relativeFrom="page">
              <wp:posOffset>334010</wp:posOffset>
            </wp:positionV>
            <wp:extent cx="7094220" cy="4445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r>
        <w:rPr xmlns:w="http://schemas.openxmlformats.org/wordprocessingml/2006/main">
          <w:rFonts w:ascii="Arial" w:cs="Arial" w:eastAsia="Arial" w:hAnsi="Arial"/>
          <w:sz w:val="24"/>
          <w:szCs w:val="24"/>
          <w:color w:val="231F20"/>
        </w:rPr>
        <w:t xml:space="preserve">Σενάρια επιδόσεων</w:t>
      </w:r>
    </w:p>
    <w:p>
      <w:pPr>
        <w:spacing w:after="0" w:line="112" w:lineRule="exact"/>
        <w:rPr>
          <w:sz w:val="20"/>
          <w:szCs w:val="20"/>
          <w:color w:val="auto"/>
        </w:rPr>
      </w:pPr>
    </w:p>
    <w:p>
      <w:pPr xmlns:w="http://schemas.openxmlformats.org/wordprocessingml/2006/main">
        <w:ind w:left="3"/>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Αυτό που θα πάρετε από αυτό το Ταμείο εξαρτάται από τη μελλοντική απόδοση της αγοράς.</w:t>
      </w:r>
      <w:r>
        <w:rPr xmlns:w="http://schemas.openxmlformats.org/wordprocessingml/2006/main">
          <w:rFonts w:ascii="Arial" w:cs="Arial" w:eastAsia="Arial" w:hAnsi="Arial"/>
          <w:sz w:val="16"/>
          <w:szCs w:val="16"/>
          <w:color w:val="231F20"/>
        </w:rPr>
        <w:t xml:space="preserve"> Η εξέλιξη της αγοράς στο μέλλον είναι αβέβαιη και δεν μπορεί να προβλεφθεί με ακρίβεια.</w:t>
      </w:r>
    </w:p>
    <w:p>
      <w:pPr>
        <w:spacing w:after="0" w:line="14" w:lineRule="exact"/>
        <w:rPr>
          <w:sz w:val="20"/>
          <w:szCs w:val="20"/>
          <w:color w:val="auto"/>
        </w:rPr>
      </w:pPr>
    </w:p>
    <w:p>
      <w:pPr xmlns:w="http://schemas.openxmlformats.org/wordprocessingml/2006/main">
        <w:ind w:left="3"/>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Τα δυσμενή, μέτρια και ευνοϊκά σενάρια που παρουσιάζονται είναι απεικονίσεις χρησιμοποιώντας τις χειρότερες, μέσες και καλύτερες επιδόσεις του δείκτη κατά τα τελευταία 10 χρόνια.</w:t>
      </w:r>
      <w:r>
        <w:rPr xmlns:w="http://schemas.openxmlformats.org/wordprocessingml/2006/main">
          <w:rFonts w:ascii="Arial" w:cs="Arial" w:eastAsia="Arial" w:hAnsi="Arial"/>
          <w:sz w:val="16"/>
          <w:szCs w:val="16"/>
          <w:color w:val="231F20"/>
        </w:rPr>
        <w:t xml:space="preserve"> Οι αγορές θα μπορούσαν να αναπτυχθούν πολύ διαφορετικά στο μέλλον.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-18415</wp:posOffset>
            </wp:positionH>
            <wp:positionV relativeFrom="paragraph">
              <wp:posOffset>43815</wp:posOffset>
            </wp:positionV>
            <wp:extent cx="7058025" cy="267335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extLst>
                    </a:blip>
                    <a:srcRect/>
                    <a:stretch>
                      <a:fillRect/>
                    </a:stretch>
                  </pic:blipFill>
                  <pic:spPr bwMode="auto">
                    <a:xfrm>
                      <a:off x="0" y="0"/>
                      <a:ext cx="7058025" cy="2673350"/>
                    </a:xfrm>
                    <a:prstGeom prst="rect">
                      <a:avLst/>
                    </a:prstGeom>
                    <a:noFill/>
                  </pic:spPr>
                </pic:pic>
              </a:graphicData>
            </a:graphic>
          </wp:anchor>
        </w:drawing>
      </w:r>
    </w:p>
    <w:p>
      <w:pPr>
        <w:spacing w:after="0" w:line="115" w:lineRule="exact"/>
        <w:rPr>
          <w:sz w:val="20"/>
          <w:szCs w:val="20"/>
          <w:color w:val="auto"/>
        </w:rPr>
      </w:pPr>
    </w:p>
    <w:p>
      <w:pPr xmlns:w="http://schemas.openxmlformats.org/wordprocessingml/2006/main">
        <w:ind w:left="63"/>
        <w:spacing w:after="0"/>
        <w:tabs>
          <w:tab w:leader="none" w:pos="7403" w:val="left"/>
        </w:tabs>
        <w:rPr>
          <w:sz w:val="20"/>
          <w:szCs w:val="20"/>
          <w:color w:val="auto"/>
        </w:rPr>
      </w:pPr>
      <w:r>
        <w:rPr xmlns:w="http://schemas.openxmlformats.org/wordprocessingml/2006/main">
          <w:rFonts w:ascii="Arial" w:cs="Arial" w:eastAsia="Arial" w:hAnsi="Arial"/>
          <w:sz w:val="16"/>
          <w:szCs w:val="16"/>
          <w:b w:val="1"/>
          <w:bCs w:val="1"/>
          <w:color w:val="231F20"/>
        </w:rPr>
        <w:t xml:space="preserve">Συνιστώμενη περίοδος διατήρησης:</w:t>
        <w:tab xmlns:w="http://schemas.openxmlformats.org/wordprocessingml/2006/main"/>
      </w:r>
      <w:r>
        <w:rPr xmlns:w="http://schemas.openxmlformats.org/wordprocessingml/2006/main">
          <w:rFonts w:ascii="Arial" w:cs="Arial" w:eastAsia="Arial" w:hAnsi="Arial"/>
          <w:sz w:val="16"/>
          <w:szCs w:val="16"/>
          <w:b w:val="1"/>
          <w:bCs w:val="1"/>
          <w:color w:val="231F20"/>
        </w:rPr>
        <w:t xml:space="preserve">5 χρόνια</w:t>
      </w:r>
    </w:p>
    <w:p>
      <w:pPr>
        <w:spacing w:after="0" w:line="113" w:lineRule="exact"/>
        <w:rPr>
          <w:sz w:val="20"/>
          <w:szCs w:val="20"/>
          <w:color w:val="auto"/>
        </w:rPr>
      </w:pPr>
    </w:p>
    <w:p>
      <w:pPr xmlns:w="http://schemas.openxmlformats.org/wordprocessingml/2006/main">
        <w:ind w:left="63"/>
        <w:spacing w:after="0"/>
        <w:tabs>
          <w:tab w:leader="none" w:pos="7403" w:val="left"/>
        </w:tabs>
        <w:rPr>
          <w:sz w:val="20"/>
          <w:szCs w:val="20"/>
          <w:color w:val="auto"/>
        </w:rPr>
      </w:pPr>
      <w:r>
        <w:rPr xmlns:w="http://schemas.openxmlformats.org/wordprocessingml/2006/main">
          <w:rFonts w:ascii="Arial" w:cs="Arial" w:eastAsia="Arial" w:hAnsi="Arial"/>
          <w:sz w:val="16"/>
          <w:szCs w:val="16"/>
          <w:b w:val="1"/>
          <w:bCs w:val="1"/>
          <w:color w:val="231F20"/>
        </w:rPr>
        <w:t xml:space="preserve">Παράδειγμα επένδυσης:</w:t>
        <w:tab xmlns:w="http://schemas.openxmlformats.org/wordprocessingml/2006/main"/>
      </w:r>
      <w:r>
        <w:rPr xmlns:w="http://schemas.openxmlformats.org/wordprocessingml/2006/main">
          <w:rFonts w:ascii="Arial" w:cs="Arial" w:eastAsia="Arial" w:hAnsi="Arial"/>
          <w:sz w:val="16"/>
          <w:szCs w:val="16"/>
          <w:b w:val="1"/>
          <w:bCs w:val="1"/>
          <w:color w:val="231F20"/>
        </w:rPr>
        <w:t xml:space="preserve">10.000 $</w:t>
      </w:r>
    </w:p>
    <w:p>
      <w:pPr>
        <w:spacing w:after="0" w:line="73" w:lineRule="exact"/>
        <w:rPr>
          <w:sz w:val="20"/>
          <w:szCs w:val="20"/>
          <w:color w:val="auto"/>
        </w:rPr>
      </w:pPr>
    </w:p>
    <w:p>
      <w:pPr xmlns:w="http://schemas.openxmlformats.org/wordprocessingml/2006/main">
        <w:ind w:left="972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Αν βγείτε μετά το 5</w:t>
      </w:r>
    </w:p>
    <w:p>
      <w:pPr xmlns:w="http://schemas.openxmlformats.org/wordprocessingml/2006/main">
        <w:ind w:left="7503"/>
        <w:spacing w:after="0" w:line="192" w:lineRule="auto"/>
        <w:rPr>
          <w:sz w:val="20"/>
          <w:szCs w:val="20"/>
          <w:color w:val="auto"/>
        </w:rPr>
      </w:pPr>
      <w:r>
        <w:rPr xmlns:w="http://schemas.openxmlformats.org/wordprocessingml/2006/main">
          <w:rFonts w:ascii="Arial" w:cs="Arial" w:eastAsia="Arial" w:hAnsi="Arial"/>
          <w:sz w:val="10"/>
          <w:szCs w:val="10"/>
          <w:b w:val="1"/>
          <w:bCs w:val="1"/>
          <w:color w:val="231F20"/>
        </w:rPr>
        <w:t xml:space="preserve">Αν βγείτε μετά από 1 έτος</w:t>
      </w:r>
    </w:p>
    <w:p>
      <w:pPr xmlns:w="http://schemas.openxmlformats.org/wordprocessingml/2006/main">
        <w:ind w:left="10583"/>
        <w:spacing w:after="0" w:line="230" w:lineRule="auto"/>
        <w:rPr>
          <w:sz w:val="20"/>
          <w:szCs w:val="20"/>
          <w:color w:val="auto"/>
        </w:rPr>
      </w:pPr>
      <w:r>
        <w:rPr xmlns:w="http://schemas.openxmlformats.org/wordprocessingml/2006/main">
          <w:rFonts w:ascii="Arial" w:cs="Arial" w:eastAsia="Arial" w:hAnsi="Arial"/>
          <w:sz w:val="16"/>
          <w:szCs w:val="16"/>
          <w:b w:val="1"/>
          <w:bCs w:val="1"/>
          <w:color w:val="231F20"/>
        </w:rPr>
        <w:t xml:space="preserve">έτη</w:t>
      </w:r>
    </w:p>
    <w:p>
      <w:pPr>
        <w:sectPr>
          <w:pgSz w:w="11900" w:h="16838" w:orient="portrait"/>
          <w:cols w:equalWidth="0" w:num="1">
            <w:col w:w="11103"/>
          </w:cols>
          <w:pgMar w:left="397" w:top="606" w:right="406" w:bottom="1440" w:gutter="0" w:footer="0" w:header="0"/>
        </w:sectPr>
      </w:pPr>
    </w:p>
    <w:p>
      <w:pPr>
        <w:spacing w:after="0" w:line="69"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Σενάρια</w:t>
      </w:r>
    </w:p>
    <w:p>
      <w:pPr>
        <w:spacing w:after="0" w:line="123"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Ελάχιστο</w:t>
      </w:r>
    </w:p>
    <w:p>
      <w:pPr>
        <w:spacing w:after="0" w:line="277"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Τάση</w:t>
      </w:r>
    </w:p>
    <w:p>
      <w:pPr>
        <w:spacing w:after="0" w:line="200" w:lineRule="exact"/>
        <w:rPr>
          <w:sz w:val="20"/>
          <w:szCs w:val="20"/>
          <w:color w:val="auto"/>
        </w:rPr>
      </w:pPr>
    </w:p>
    <w:p>
      <w:pPr>
        <w:spacing w:after="0" w:line="231"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Μη ευνοϊκό</w:t>
      </w:r>
    </w:p>
    <w:p>
      <w:pPr>
        <w:spacing w:after="0" w:line="200" w:lineRule="exact"/>
        <w:rPr>
          <w:sz w:val="20"/>
          <w:szCs w:val="20"/>
          <w:color w:val="auto"/>
        </w:rPr>
      </w:pPr>
    </w:p>
    <w:p>
      <w:pPr>
        <w:spacing w:after="0" w:line="242"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Μέτρια</w:t>
      </w:r>
    </w:p>
    <w:p>
      <w:pPr>
        <w:spacing w:after="0" w:line="200" w:lineRule="exact"/>
        <w:rPr>
          <w:sz w:val="20"/>
          <w:szCs w:val="20"/>
          <w:color w:val="auto"/>
        </w:rPr>
      </w:pPr>
    </w:p>
    <w:p>
      <w:pPr>
        <w:spacing w:after="0" w:line="231"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Ευνοϊκή</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376"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29"/>
        </w:trPr>
        <w:tc>
          <w:tcPr>
            <w:tcW w:w="874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Δεν υπάρχει ελάχιστη εγγυημένη επιστροφή αν βγείτε πριν από 5 χρόνια.</w:t>
            </w:r>
            <w:r>
              <w:rPr xmlns:w="http://schemas.openxmlformats.org/wordprocessingml/2006/main">
                <w:rFonts w:ascii="Arial" w:cs="Arial" w:eastAsia="Arial" w:hAnsi="Arial"/>
                <w:sz w:val="16"/>
                <w:szCs w:val="16"/>
                <w:b w:val="1"/>
                <w:bCs w:val="1"/>
                <w:color w:val="231F20"/>
              </w:rPr>
              <w:t xml:space="preserve"> Θα μπορούσες να χάσεις κάποια ή όλα τα λεφτά σου.</w:t>
            </w:r>
          </w:p>
        </w:tc>
        <w:tc>
          <w:tcPr>
            <w:tcW w:w="820" w:type="dxa"/>
            <w:vAlign w:val="bottom"/>
          </w:tcPr>
          <w:p>
            <w:pPr>
              <w:spacing w:after="0"/>
              <w:rPr>
                <w:sz w:val="19"/>
                <w:szCs w:val="19"/>
                <w:color w:val="auto"/>
              </w:rPr>
            </w:pPr>
          </w:p>
        </w:tc>
      </w:tr>
      <w:tr>
        <w:trPr>
          <w:trHeight w:val="30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Τι μπορεί να πάρετε πίσω μετά το κόστος</w:t>
            </w:r>
          </w:p>
        </w:tc>
        <w:tc>
          <w:tcPr>
            <w:tcW w:w="3820" w:type="dxa"/>
            <w:vAlign w:val="bottom"/>
          </w:tcPr>
          <w:p>
            <w:pPr xmlns:w="http://schemas.openxmlformats.org/wordprocessingml/2006/main">
              <w:jc w:val="right"/>
              <w:ind w:right="940"/>
              <w:spacing w:after="0"/>
              <w:rPr>
                <w:sz w:val="20"/>
                <w:szCs w:val="20"/>
                <w:color w:val="auto"/>
              </w:rPr>
            </w:pPr>
            <w:r>
              <w:rPr xmlns:w="http://schemas.openxmlformats.org/wordprocessingml/2006/main">
                <w:rFonts w:ascii="Arial" w:cs="Arial" w:eastAsia="Arial" w:hAnsi="Arial"/>
                <w:sz w:val="16"/>
                <w:szCs w:val="16"/>
                <w:color w:val="231F20"/>
              </w:rPr>
              <w:t xml:space="preserve">970 $</w:t>
            </w: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1.010 $</w:t>
            </w:r>
          </w:p>
        </w:tc>
      </w:tr>
      <w:tr>
        <w:trPr>
          <w:trHeight w:val="30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Μέση απόδοση κάθε έτος</w:t>
            </w:r>
          </w:p>
        </w:tc>
        <w:tc>
          <w:tcPr>
            <w:tcW w:w="3820" w:type="dxa"/>
            <w:vAlign w:val="bottom"/>
          </w:tcPr>
          <w:p>
            <w:pPr xmlns:w="http://schemas.openxmlformats.org/wordprocessingml/2006/main">
              <w:jc w:val="right"/>
              <w:ind w:right="940"/>
              <w:spacing w:after="0"/>
              <w:rPr>
                <w:sz w:val="20"/>
                <w:szCs w:val="20"/>
                <w:color w:val="auto"/>
              </w:rPr>
            </w:pPr>
            <w:r>
              <w:rPr xmlns:w="http://schemas.openxmlformats.org/wordprocessingml/2006/main">
                <w:rFonts w:ascii="Arial" w:cs="Arial" w:eastAsia="Arial" w:hAnsi="Arial"/>
                <w:sz w:val="16"/>
                <w:szCs w:val="16"/>
                <w:color w:val="231F20"/>
              </w:rPr>
              <w:t xml:space="preserve">-90,30%</w:t>
            </w: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-36,78%</w:t>
            </w:r>
          </w:p>
        </w:tc>
      </w:tr>
      <w:tr>
        <w:trPr>
          <w:trHeight w:val="30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Τι μπορεί να πάρετε πίσω μετά το κόστος</w:t>
            </w:r>
          </w:p>
        </w:tc>
        <w:tc>
          <w:tcPr>
            <w:tcW w:w="3820" w:type="dxa"/>
            <w:vAlign w:val="bottom"/>
          </w:tcPr>
          <w:p>
            <w:pPr xmlns:w="http://schemas.openxmlformats.org/wordprocessingml/2006/main">
              <w:jc w:val="right"/>
              <w:ind w:right="940"/>
              <w:spacing w:after="0"/>
              <w:rPr>
                <w:sz w:val="20"/>
                <w:szCs w:val="20"/>
                <w:color w:val="auto"/>
              </w:rPr>
            </w:pPr>
            <w:r>
              <w:rPr xmlns:w="http://schemas.openxmlformats.org/wordprocessingml/2006/main">
                <w:rFonts w:ascii="Arial" w:cs="Arial" w:eastAsia="Arial" w:hAnsi="Arial"/>
                <w:sz w:val="16"/>
                <w:szCs w:val="16"/>
                <w:color w:val="231F20"/>
              </w:rPr>
              <w:t xml:space="preserve">8.140 $</w:t>
            </w: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8.630 $</w:t>
            </w:r>
          </w:p>
        </w:tc>
      </w:tr>
      <w:tr>
        <w:trPr>
          <w:trHeight w:val="30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Μέση απόδοση κάθε έτος</w:t>
            </w:r>
          </w:p>
        </w:tc>
        <w:tc>
          <w:tcPr>
            <w:tcW w:w="3820" w:type="dxa"/>
            <w:vAlign w:val="bottom"/>
          </w:tcPr>
          <w:p>
            <w:pPr xmlns:w="http://schemas.openxmlformats.org/wordprocessingml/2006/main">
              <w:jc w:val="right"/>
              <w:ind w:right="940"/>
              <w:spacing w:after="0"/>
              <w:rPr>
                <w:sz w:val="20"/>
                <w:szCs w:val="20"/>
                <w:color w:val="auto"/>
              </w:rPr>
            </w:pPr>
            <w:r>
              <w:rPr xmlns:w="http://schemas.openxmlformats.org/wordprocessingml/2006/main">
                <w:rFonts w:ascii="Arial" w:cs="Arial" w:eastAsia="Arial" w:hAnsi="Arial"/>
                <w:sz w:val="16"/>
                <w:szCs w:val="16"/>
                <w:color w:val="231F20"/>
              </w:rPr>
              <w:t xml:space="preserve">-18,60%</w:t>
            </w: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-2,90%</w:t>
            </w:r>
          </w:p>
        </w:tc>
      </w:tr>
      <w:tr>
        <w:trPr>
          <w:trHeight w:val="30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Τι μπορεί να πάρετε πίσω μετά το κόστος</w:t>
            </w:r>
          </w:p>
        </w:tc>
        <w:tc>
          <w:tcPr>
            <w:tcW w:w="3820" w:type="dxa"/>
            <w:vAlign w:val="bottom"/>
          </w:tcPr>
          <w:p>
            <w:pPr xmlns:w="http://schemas.openxmlformats.org/wordprocessingml/2006/main">
              <w:jc w:val="right"/>
              <w:ind w:right="940"/>
              <w:spacing w:after="0"/>
              <w:rPr>
                <w:sz w:val="20"/>
                <w:szCs w:val="20"/>
                <w:color w:val="auto"/>
              </w:rPr>
            </w:pPr>
            <w:r>
              <w:rPr xmlns:w="http://schemas.openxmlformats.org/wordprocessingml/2006/main">
                <w:rFonts w:ascii="Arial" w:cs="Arial" w:eastAsia="Arial" w:hAnsi="Arial"/>
                <w:sz w:val="16"/>
                <w:szCs w:val="16"/>
                <w:color w:val="231F20"/>
              </w:rPr>
              <w:t xml:space="preserve">11.360 $</w:t>
            </w: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17.760 $</w:t>
            </w:r>
          </w:p>
        </w:tc>
      </w:tr>
      <w:tr>
        <w:trPr>
          <w:trHeight w:val="30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Μέση απόδοση κάθε έτος</w:t>
            </w:r>
          </w:p>
        </w:tc>
        <w:tc>
          <w:tcPr>
            <w:tcW w:w="3820" w:type="dxa"/>
            <w:vAlign w:val="bottom"/>
          </w:tcPr>
          <w:p>
            <w:pPr xmlns:w="http://schemas.openxmlformats.org/wordprocessingml/2006/main">
              <w:jc w:val="right"/>
              <w:ind w:right="940"/>
              <w:spacing w:after="0"/>
              <w:rPr>
                <w:sz w:val="20"/>
                <w:szCs w:val="20"/>
                <w:color w:val="auto"/>
              </w:rPr>
            </w:pPr>
            <w:r>
              <w:rPr xmlns:w="http://schemas.openxmlformats.org/wordprocessingml/2006/main">
                <w:rFonts w:ascii="Arial" w:cs="Arial" w:eastAsia="Arial" w:hAnsi="Arial"/>
                <w:sz w:val="16"/>
                <w:szCs w:val="16"/>
                <w:color w:val="231F20"/>
              </w:rPr>
              <w:t xml:space="preserve">13,60%</w:t>
            </w: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12,17%</w:t>
            </w:r>
          </w:p>
        </w:tc>
      </w:tr>
      <w:tr>
        <w:trPr>
          <w:trHeight w:val="30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Τι μπορεί να πάρετε πίσω μετά το κόστος</w:t>
            </w:r>
          </w:p>
        </w:tc>
        <w:tc>
          <w:tcPr>
            <w:tcW w:w="3820" w:type="dxa"/>
            <w:vAlign w:val="bottom"/>
          </w:tcPr>
          <w:p>
            <w:pPr xmlns:w="http://schemas.openxmlformats.org/wordprocessingml/2006/main">
              <w:jc w:val="right"/>
              <w:ind w:right="940"/>
              <w:spacing w:after="0"/>
              <w:rPr>
                <w:sz w:val="20"/>
                <w:szCs w:val="20"/>
                <w:color w:val="auto"/>
              </w:rPr>
            </w:pPr>
            <w:r>
              <w:rPr xmlns:w="http://schemas.openxmlformats.org/wordprocessingml/2006/main">
                <w:rFonts w:ascii="Arial" w:cs="Arial" w:eastAsia="Arial" w:hAnsi="Arial"/>
                <w:sz w:val="16"/>
                <w:szCs w:val="16"/>
                <w:color w:val="231F20"/>
              </w:rPr>
              <w:t xml:space="preserve">15.590 $</w:t>
            </w: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23.210 $</w:t>
            </w:r>
          </w:p>
        </w:tc>
      </w:tr>
      <w:tr>
        <w:trPr>
          <w:trHeight w:val="30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Μέση απόδοση κάθε έτος</w:t>
            </w:r>
          </w:p>
        </w:tc>
        <w:tc>
          <w:tcPr>
            <w:tcW w:w="3820" w:type="dxa"/>
            <w:vAlign w:val="bottom"/>
          </w:tcPr>
          <w:p>
            <w:pPr xmlns:w="http://schemas.openxmlformats.org/wordprocessingml/2006/main">
              <w:jc w:val="right"/>
              <w:ind w:right="940"/>
              <w:spacing w:after="0"/>
              <w:rPr>
                <w:sz w:val="20"/>
                <w:szCs w:val="20"/>
                <w:color w:val="auto"/>
              </w:rPr>
            </w:pPr>
            <w:r>
              <w:rPr xmlns:w="http://schemas.openxmlformats.org/wordprocessingml/2006/main">
                <w:rFonts w:ascii="Arial" w:cs="Arial" w:eastAsia="Arial" w:hAnsi="Arial"/>
                <w:sz w:val="16"/>
                <w:szCs w:val="16"/>
                <w:color w:val="231F20"/>
              </w:rPr>
              <w:t xml:space="preserve">55,90%</w:t>
            </w: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18,34%</w:t>
            </w:r>
          </w:p>
        </w:tc>
      </w:tr>
    </w:tbl>
    <w:p>
      <w:pPr>
        <w:spacing w:after="0" w:line="164" w:lineRule="exact"/>
        <w:rPr>
          <w:sz w:val="20"/>
          <w:szCs w:val="20"/>
          <w:color w:val="auto"/>
        </w:rPr>
      </w:pPr>
    </w:p>
    <w:p>
      <w:pPr>
        <w:sectPr>
          <w:pgSz w:w="11900" w:h="16838" w:orient="portrait"/>
          <w:cols w:equalWidth="0" w:num="2">
            <w:col w:w="1083" w:space="380"/>
            <w:col w:w="9640"/>
          </w:cols>
          <w:pgMar w:left="397" w:top="606" w:right="406" w:bottom="1440" w:gutter="0" w:footer="0" w:header="0"/>
          <w:type w:val="continuous"/>
        </w:sectPr>
      </w:pPr>
    </w:p>
    <w:p>
      <w:pPr xmlns:w="http://schemas.openxmlformats.org/wordprocessingml/2006/main">
        <w:jc w:val="both"/>
        <w:ind w:left="3"/>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Τα ποσά που εμφανίζονται περιλαμβάνουν όλα τα έξοδα του ίδιου του Ταμείου, αλλά μπορεί να μην περιλαμβάνουν όλα τα έξοδα που πληρώνετε στο σύμβουλό σας ή το διανομέα σας.</w:t>
      </w:r>
      <w:r>
        <w:rPr xmlns:w="http://schemas.openxmlformats.org/wordprocessingml/2006/main">
          <w:rFonts w:ascii="Arial" w:cs="Arial" w:eastAsia="Arial" w:hAnsi="Arial"/>
          <w:sz w:val="16"/>
          <w:szCs w:val="16"/>
          <w:color w:val="231F20"/>
        </w:rPr>
        <w:t xml:space="preserve"> Τα στοιχεία δεν λαμβάνουν υπόψη την προσωπική σας φορολογική κατάσταση, η οποία μπορεί επίσης να επηρεάσει το πόσο θα πάρετε πίσω.</w:t>
      </w:r>
    </w:p>
    <w:p>
      <w:pPr>
        <w:spacing w:after="0" w:line="21" w:lineRule="exact"/>
        <w:rPr>
          <w:sz w:val="20"/>
          <w:szCs w:val="20"/>
          <w:color w:val="auto"/>
        </w:rPr>
      </w:pPr>
    </w:p>
    <w:p>
      <w:pPr xmlns:w="http://schemas.openxmlformats.org/wordprocessingml/2006/main">
        <w:jc w:val="both"/>
        <w:ind w:left="3"/>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Το σενάριο άγχους δείχνει τι μπορεί να πάρετε πίσω σε ακραίες συνθήκες της αγοράς.</w:t>
      </w:r>
    </w:p>
    <w:p>
      <w:pPr>
        <w:spacing w:after="0" w:line="13"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Αυτό το Ταμείο δεν μπορεί να εισπραχθεί εύκολα.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-18415</wp:posOffset>
            </wp:positionH>
            <wp:positionV relativeFrom="paragraph">
              <wp:posOffset>-4445</wp:posOffset>
            </wp:positionV>
            <wp:extent cx="7094220" cy="4445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Δυσμενές σενάριο:</w:t>
      </w:r>
      <w:r>
        <w:rPr xmlns:w="http://schemas.openxmlformats.org/wordprocessingml/2006/main">
          <w:rFonts w:ascii="Arial" w:cs="Arial" w:eastAsia="Arial" w:hAnsi="Arial"/>
          <w:sz w:val="16"/>
          <w:szCs w:val="16"/>
          <w:color w:val="231F20"/>
        </w:rPr>
        <w:t xml:space="preserve"> Αυτό το είδος σεναρίου συνέβη για τον δείκτη μεταξύ 2021 και 2023.</w:t>
      </w:r>
    </w:p>
    <w:p>
      <w:pPr>
        <w:spacing w:after="0" w:line="14" w:lineRule="exact"/>
        <w:rPr>
          <w:sz w:val="20"/>
          <w:szCs w:val="20"/>
          <w:color w:val="auto"/>
        </w:rPr>
      </w:pPr>
    </w:p>
    <w:p>
      <w:pPr xmlns:w="http://schemas.openxmlformats.org/wordprocessingml/2006/main">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Μέτριο σενάριο:</w:t>
      </w:r>
      <w:r>
        <w:rPr xmlns:w="http://schemas.openxmlformats.org/wordprocessingml/2006/main">
          <w:rFonts w:ascii="Arial" w:cs="Arial" w:eastAsia="Arial" w:hAnsi="Arial"/>
          <w:sz w:val="16"/>
          <w:szCs w:val="16"/>
          <w:color w:val="231F20"/>
        </w:rPr>
        <w:t xml:space="preserve"> Αυτό το είδος σεναρίου συνέβη για τον δείκτη μεταξύ 2013 και 2018.</w:t>
      </w:r>
    </w:p>
    <w:p>
      <w:pPr>
        <w:spacing w:after="0" w:line="13" w:lineRule="exact"/>
        <w:rPr>
          <w:sz w:val="20"/>
          <w:szCs w:val="20"/>
          <w:color w:val="auto"/>
        </w:rPr>
      </w:pPr>
    </w:p>
    <w:p>
      <w:pPr xmlns:w="http://schemas.openxmlformats.org/wordprocessingml/2006/main">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Ευνοϊκό σενάριο:</w:t>
      </w:r>
      <w:r>
        <w:rPr xmlns:w="http://schemas.openxmlformats.org/wordprocessingml/2006/main">
          <w:rFonts w:ascii="Arial" w:cs="Arial" w:eastAsia="Arial" w:hAnsi="Arial"/>
          <w:sz w:val="16"/>
          <w:szCs w:val="16"/>
          <w:color w:val="231F20"/>
        </w:rPr>
        <w:t xml:space="preserve"> Αυτό το είδος σεναρίου συνέβη για τον δείκτη μεταξύ 2016 και 2021.</w:t>
      </w:r>
    </w:p>
    <w:p>
      <w:pPr>
        <w:spacing w:after="0" w:line="196" w:lineRule="exact"/>
        <w:rPr>
          <w:sz w:val="20"/>
          <w:szCs w:val="20"/>
          <w:color w:val="auto"/>
        </w:rPr>
      </w:pPr>
    </w:p>
    <w:p>
      <w:pPr>
        <w:sectPr>
          <w:pgSz w:w="11900" w:h="16838" w:orient="portrait"/>
          <w:cols w:equalWidth="0" w:num="2">
            <w:col w:w="5423" w:space="260"/>
            <w:col w:w="5420"/>
          </w:cols>
          <w:pgMar w:left="397" w:top="606" w:right="406" w:bottom="1440" w:gutter="0" w:footer="0" w:header="0"/>
          <w:type w:val="continuous"/>
        </w:sect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Τι συμβαίνει αν η VGIL δεν είναι σε θέση να πληρώσει;</w:t>
      </w:r>
    </w:p>
    <w:p>
      <w:pPr>
        <w:spacing w:after="0" w:line="112" w:lineRule="exact"/>
        <w:rPr>
          <w:sz w:val="20"/>
          <w:szCs w:val="20"/>
          <w:color w:val="auto"/>
        </w:rPr>
      </w:pPr>
    </w:p>
    <w:p>
      <w:pPr xmlns:w="http://schemas.openxmlformats.org/wordprocessingml/2006/main">
        <w:jc w:val="both"/>
        <w:ind w:left="3"/>
        <w:spacing w:after="0" w:line="222" w:lineRule="auto"/>
        <w:rPr>
          <w:sz w:val="20"/>
          <w:szCs w:val="20"/>
          <w:color w:val="auto"/>
        </w:rPr>
      </w:pPr>
      <w:r>
        <w:rPr xmlns:w="http://schemas.openxmlformats.org/wordprocessingml/2006/main">
          <w:rFonts w:ascii="Arial" w:cs="Arial" w:eastAsia="Arial" w:hAnsi="Arial"/>
          <w:sz w:val="16"/>
          <w:szCs w:val="16"/>
          <w:color w:val="231F20"/>
        </w:rPr>
        <w:t xml:space="preserve">Τα περιουσιακά στοιχεία του Ταμείου φυλάσσονται από τον θεματοφύλακα του.</w:t>
      </w:r>
      <w:r>
        <w:rPr xmlns:w="http://schemas.openxmlformats.org/wordprocessingml/2006/main">
          <w:rFonts w:ascii="Arial" w:cs="Arial" w:eastAsia="Arial" w:hAnsi="Arial"/>
          <w:sz w:val="16"/>
          <w:szCs w:val="16"/>
          <w:color w:val="231F20"/>
        </w:rPr>
        <w:t xml:space="preserve"> Σε περίπτωση αφερεγγυότητας της VGIL, δεν θίγονται τα περιουσιακά στοιχεία του Ταμείου για τη φύλαξη του θεματοφύλακα.</w:t>
      </w:r>
      <w:r>
        <w:rPr xmlns:w="http://schemas.openxmlformats.org/wordprocessingml/2006/main">
          <w:rFonts w:ascii="Arial" w:cs="Arial" w:eastAsia="Arial" w:hAnsi="Arial"/>
          <w:sz w:val="16"/>
          <w:szCs w:val="16"/>
          <w:color w:val="231F20"/>
        </w:rPr>
        <w:t xml:space="preserve"> Ωστόσο, σε περίπτωση αφερεγγυότητας του θεματοφύλακα, ή σε περίπτωση που κάποιος ενεργεί για λογαριασμό του, το Ταμείο ενδέχεται να υποστεί οικονομική ζημία.</w:t>
      </w:r>
      <w:r>
        <w:rPr xmlns:w="http://schemas.openxmlformats.org/wordprocessingml/2006/main">
          <w:rFonts w:ascii="Arial" w:cs="Arial" w:eastAsia="Arial" w:hAnsi="Arial"/>
          <w:sz w:val="16"/>
          <w:szCs w:val="16"/>
          <w:color w:val="231F20"/>
        </w:rPr>
        <w:t xml:space="preserve"> Ο κίνδυνος αυτός μετριάζεται σε κάποιο βαθμό από το γεγονός ότι ο θεματοφύλακας απαιτείται από το νόμο και τη ρύθμιση για να διαχωρίσει τα περιουσιακά του στοιχεία από τα περιουσιακά στοιχεία του Ταμείου.</w:t>
      </w:r>
      <w:r>
        <w:rPr xmlns:w="http://schemas.openxmlformats.org/wordprocessingml/2006/main">
          <w:rFonts w:ascii="Arial" w:cs="Arial" w:eastAsia="Arial" w:hAnsi="Arial"/>
          <w:sz w:val="16"/>
          <w:szCs w:val="16"/>
          <w:color w:val="231F20"/>
        </w:rPr>
        <w:t xml:space="preserve"> Ο θεματοφύλακας ευθύνεται επίσης έναντι του Ταμείου και των επενδυτών για κάθε ζημία που οφείλεται, μεταξύ άλλων, στην αμέλεια, την απάτη ή την εκ προθέσεως αθέτηση των υποχρεώσεών του (υπό ορισμένους περιορισμούς).</w:t>
      </w:r>
    </w:p>
    <w:p>
      <w:pPr>
        <w:spacing w:after="0" w:line="23"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Δεν υπάρχει σύστημα αποζημίωσης ή εγγύησης που να σας προστατεύει από την αθέτηση του θεματοφύλακα του Ταμείου.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-18415</wp:posOffset>
            </wp:positionH>
            <wp:positionV relativeFrom="paragraph">
              <wp:posOffset>-4445</wp:posOffset>
            </wp:positionV>
            <wp:extent cx="7094220" cy="4445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p>
    <w:p>
      <w:pPr>
        <w:spacing w:after="0" w:line="52"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Ποιο είναι το κόστος;</w:t>
      </w:r>
    </w:p>
    <w:p>
      <w:pPr>
        <w:spacing w:after="0" w:line="112" w:lineRule="exact"/>
        <w:rPr>
          <w:sz w:val="20"/>
          <w:szCs w:val="20"/>
          <w:color w:val="auto"/>
        </w:rPr>
      </w:pPr>
    </w:p>
    <w:p>
      <w:pPr xmlns:w="http://schemas.openxmlformats.org/wordprocessingml/2006/main">
        <w:jc w:val="both"/>
        <w:ind w:left="3"/>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Το πρόσωπο που συμβουλεύει ή σας πωλεί το Ταμείο μπορεί να σας χρεώσει άλλα έξοδα.</w:t>
      </w:r>
      <w:r>
        <w:rPr xmlns:w="http://schemas.openxmlformats.org/wordprocessingml/2006/main">
          <w:rFonts w:ascii="Arial" w:cs="Arial" w:eastAsia="Arial" w:hAnsi="Arial"/>
          <w:sz w:val="16"/>
          <w:szCs w:val="16"/>
          <w:color w:val="231F20"/>
        </w:rPr>
        <w:t xml:space="preserve"> Αν ναι, αυτό το άτομο θα σας παρέχει πληροφορίες σχετικά με αυτές τις δαπάνες και τον τρόπο που αυτές επηρεάζουν την επένδυσή σας.</w:t>
      </w:r>
    </w:p>
    <w:p>
      <w:pPr>
        <w:spacing w:after="0" w:line="19"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Κόστος με την πάροδο του χρόνου</w:t>
      </w:r>
    </w:p>
    <w:p>
      <w:pPr>
        <w:spacing w:after="0" w:line="68" w:lineRule="exact"/>
        <w:rPr>
          <w:sz w:val="20"/>
          <w:szCs w:val="20"/>
          <w:color w:val="auto"/>
        </w:rPr>
      </w:pPr>
    </w:p>
    <w:p>
      <w:pPr xmlns:w="http://schemas.openxmlformats.org/wordprocessingml/2006/main">
        <w:jc w:val="both"/>
        <w:ind w:left="3"/>
        <w:spacing w:after="0" w:line="232" w:lineRule="auto"/>
        <w:rPr>
          <w:sz w:val="20"/>
          <w:szCs w:val="20"/>
          <w:color w:val="auto"/>
        </w:rPr>
      </w:pPr>
      <w:r>
        <w:rPr xmlns:w="http://schemas.openxmlformats.org/wordprocessingml/2006/main">
          <w:rFonts w:ascii="Arial" w:cs="Arial" w:eastAsia="Arial" w:hAnsi="Arial"/>
          <w:sz w:val="16"/>
          <w:szCs w:val="16"/>
          <w:color w:val="231F20"/>
        </w:rPr>
        <w:t xml:space="preserve">Οι πίνακες δείχνουν τα ποσά που λαμβάνονται από την επένδυσή σας για την κάλυψη των διαφόρων τύπων δαπανών.</w:t>
      </w:r>
      <w:r>
        <w:rPr xmlns:w="http://schemas.openxmlformats.org/wordprocessingml/2006/main">
          <w:rFonts w:ascii="Arial" w:cs="Arial" w:eastAsia="Arial" w:hAnsi="Arial"/>
          <w:sz w:val="16"/>
          <w:szCs w:val="16"/>
          <w:color w:val="231F20"/>
        </w:rPr>
        <w:t xml:space="preserve"> Τα ποσά αυτά εξαρτώνται από το ποσό που επενδύετε, από το διάστημα που επενδύετε στο Ταμείο και από το πόσο καλά λειτουργεί το Ταμείο.</w:t>
      </w:r>
      <w:r>
        <w:rPr xmlns:w="http://schemas.openxmlformats.org/wordprocessingml/2006/main">
          <w:rFonts w:ascii="Arial" w:cs="Arial" w:eastAsia="Arial" w:hAnsi="Arial"/>
          <w:sz w:val="16"/>
          <w:szCs w:val="16"/>
          <w:color w:val="231F20"/>
        </w:rPr>
        <w:t xml:space="preserve"> Τα ποσά που εμφανίζονται εδώ είναι απεικονίσεις που βασίζονται σε ένα παράδειγμα ποσού επένδυσης και σε διαφορετικές πιθανές περιόδους επένδυσης.</w:t>
      </w:r>
    </w:p>
    <w:p>
      <w:pPr>
        <w:spacing w:after="0" w:line="20"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Υποθέσαμε ότι:</w:t>
      </w:r>
    </w:p>
    <w:p>
      <w:pPr>
        <w:spacing w:after="0" w:line="31" w:lineRule="exact"/>
        <w:rPr>
          <w:sz w:val="20"/>
          <w:szCs w:val="20"/>
          <w:color w:val="auto"/>
        </w:rPr>
      </w:pPr>
    </w:p>
    <w:p>
      <w:pPr xmlns:w="http://schemas.openxmlformats.org/wordprocessingml/2006/main">
        <w:ind w:left="3" w:hanging="3"/>
        <w:spacing w:after="0" w:line="229" w:lineRule="auto"/>
        <w:tabs>
          <w:tab w:leader="none" w:pos="103" w:val="left"/>
        </w:tabs>
        <w:numPr>
          <w:ilvl w:val="0"/>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Στο πρώτο έτος θα πάρετε πίσω το ποσό που επενδύσατε (0% ετήσια απόδοση).</w:t>
      </w:r>
      <w:r>
        <w:rPr xmlns:w="http://schemas.openxmlformats.org/wordprocessingml/2006/main">
          <w:rFonts w:ascii="Arial" w:cs="Arial" w:eastAsia="Arial" w:hAnsi="Arial"/>
          <w:sz w:val="16"/>
          <w:szCs w:val="16"/>
          <w:color w:val="231F20"/>
        </w:rPr>
        <w:t xml:space="preserve"> </w:t>
      </w:r>
      <w:r>
        <w:rPr xmlns:w="http://schemas.openxmlformats.org/wordprocessingml/2006/main">
          <w:rFonts w:ascii="Arial" w:cs="Arial" w:eastAsia="Arial" w:hAnsi="Arial"/>
          <w:sz w:val="16"/>
          <w:szCs w:val="16"/>
          <w:color w:val="231F20"/>
        </w:rPr>
        <w:t xml:space="preserve">Για τις άλλες περιόδους εκμετάλλευσης έχουμε θεωρήσει ότι το Ταμείο αποδίδει όπως φαίνεται στο μέτριο σενάριο</w:t>
      </w:r>
    </w:p>
    <w:p>
      <w:pPr xmlns:w="http://schemas.openxmlformats.org/wordprocessingml/2006/main">
        <w:ind w:left="103" w:hanging="103"/>
        <w:spacing w:after="0"/>
        <w:tabs>
          <w:tab w:leader="none" w:pos="103" w:val="left"/>
        </w:tabs>
        <w:numPr>
          <w:ilvl w:val="0"/>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Επενδύονται 10.000 δολάρια ΗΠΑ ετησίως.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52705</wp:posOffset>
            </wp:positionH>
            <wp:positionV relativeFrom="paragraph">
              <wp:posOffset>-11430</wp:posOffset>
            </wp:positionV>
            <wp:extent cx="6935470" cy="7029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a:extLst>
                        <a:ext uri="{28A0092B-C50C-407E-A947-70E740481C1C}"/>
                      </a:extLst>
                    </a:blip>
                    <a:srcRect/>
                    <a:stretch>
                      <a:fillRect/>
                    </a:stretch>
                  </pic:blipFill>
                  <pic:spPr bwMode="auto">
                    <a:xfrm>
                      <a:off x="0" y="0"/>
                      <a:ext cx="6935470" cy="702945"/>
                    </a:xfrm>
                    <a:prstGeom prst="rect">
                      <a:avLst/>
                    </a:prstGeom>
                    <a:noFill/>
                  </pic:spPr>
                </pic:pic>
              </a:graphicData>
            </a:graphic>
          </wp:anchor>
        </w:drawing>
      </w:r>
    </w:p>
    <w:p>
      <w:pPr>
        <w:spacing w:after="0" w:line="161" w:lineRule="exact"/>
        <w:rPr>
          <w:sz w:val="20"/>
          <w:szCs w:val="20"/>
          <w:color w:val="auto"/>
        </w:rPr>
      </w:pPr>
    </w:p>
    <w:tbl>
      <w:tblPr>
        <w:tblLayout w:type="fixed"/>
        <w:tblInd w:w="163" w:type="dxa"/>
        <w:tblCellMar>
          <w:top w:w="0" w:type="dxa"/>
          <w:left w:w="0" w:type="dxa"/>
          <w:bottom w:w="0" w:type="dxa"/>
          <w:right w:w="0" w:type="dxa"/>
        </w:tblCellMar>
      </w:tblPr>
      <w:tr>
        <w:trPr>
          <w:trHeight w:val="229"/>
        </w:trPr>
        <w:tc>
          <w:tcPr>
            <w:tcW w:w="3540" w:type="dxa"/>
            <w:vAlign w:val="bottom"/>
          </w:tcPr>
          <w:p>
            <w:pPr>
              <w:spacing w:after="0"/>
              <w:rPr>
                <w:sz w:val="19"/>
                <w:szCs w:val="19"/>
                <w:color w:val="auto"/>
              </w:rPr>
            </w:pPr>
          </w:p>
        </w:tc>
        <w:tc>
          <w:tcPr>
            <w:tcW w:w="4540" w:type="dxa"/>
            <w:vAlign w:val="bottom"/>
          </w:tcPr>
          <w:p>
            <w:pPr xmlns:w="http://schemas.openxmlformats.org/wordprocessingml/2006/main">
              <w:jc w:val="right"/>
              <w:ind w:right="860"/>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Αν βγείτε μετά από 1 έτος</w:t>
            </w:r>
          </w:p>
        </w:tc>
        <w:tc>
          <w:tcPr>
            <w:tcW w:w="270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Αν βγείτε μετά από 5 χρόνια</w:t>
            </w:r>
          </w:p>
        </w:tc>
      </w:tr>
      <w:tr>
        <w:trPr>
          <w:trHeight w:val="287"/>
        </w:trPr>
        <w:tc>
          <w:tcPr>
            <w:tcW w:w="354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231F20"/>
              </w:rPr>
              <w:t xml:space="preserve">Σύνολο δαπανών</w:t>
            </w:r>
          </w:p>
        </w:tc>
        <w:tc>
          <w:tcPr>
            <w:tcW w:w="4540" w:type="dxa"/>
            <w:vAlign w:val="bottom"/>
          </w:tcPr>
          <w:p>
            <w:pPr xmlns:w="http://schemas.openxmlformats.org/wordprocessingml/2006/main">
              <w:jc w:val="right"/>
              <w:ind w:right="860"/>
              <w:spacing w:after="0"/>
              <w:rPr>
                <w:sz w:val="20"/>
                <w:szCs w:val="20"/>
                <w:color w:val="auto"/>
              </w:rPr>
            </w:pPr>
            <w:r>
              <w:rPr xmlns:w="http://schemas.openxmlformats.org/wordprocessingml/2006/main">
                <w:rFonts w:ascii="Arial" w:cs="Arial" w:eastAsia="Arial" w:hAnsi="Arial"/>
                <w:sz w:val="16"/>
                <w:szCs w:val="16"/>
                <w:color w:val="231F20"/>
              </w:rPr>
              <w:t xml:space="preserve">9 $</w:t>
            </w:r>
          </w:p>
        </w:tc>
        <w:tc>
          <w:tcPr>
            <w:tcW w:w="270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69 $</w:t>
            </w:r>
          </w:p>
        </w:tc>
      </w:tr>
      <w:tr>
        <w:trPr>
          <w:trHeight w:val="307"/>
        </w:trPr>
        <w:tc>
          <w:tcPr>
            <w:tcW w:w="354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231F20"/>
              </w:rPr>
              <w:t xml:space="preserve">Επίπτωση του ετήσιου κόστους (*)</w:t>
            </w:r>
          </w:p>
        </w:tc>
        <w:tc>
          <w:tcPr>
            <w:tcW w:w="4540" w:type="dxa"/>
            <w:vAlign w:val="bottom"/>
          </w:tcPr>
          <w:p>
            <w:pPr xmlns:w="http://schemas.openxmlformats.org/wordprocessingml/2006/main">
              <w:jc w:val="right"/>
              <w:ind w:right="860"/>
              <w:spacing w:after="0"/>
              <w:rPr>
                <w:sz w:val="20"/>
                <w:szCs w:val="20"/>
                <w:color w:val="auto"/>
              </w:rPr>
            </w:pPr>
            <w:r>
              <w:rPr xmlns:w="http://schemas.openxmlformats.org/wordprocessingml/2006/main">
                <w:rFonts w:ascii="Arial" w:cs="Arial" w:eastAsia="Arial" w:hAnsi="Arial"/>
                <w:sz w:val="16"/>
                <w:szCs w:val="16"/>
                <w:color w:val="231F20"/>
              </w:rPr>
              <w:t xml:space="preserve">0,1%</w:t>
            </w:r>
          </w:p>
        </w:tc>
        <w:tc>
          <w:tcPr>
            <w:tcW w:w="270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0,1% ετησίως</w:t>
            </w:r>
          </w:p>
        </w:tc>
      </w:tr>
    </w:tbl>
    <w:p>
      <w:pPr>
        <w:spacing w:after="0" w:line="194" w:lineRule="exact"/>
        <w:rPr>
          <w:sz w:val="20"/>
          <w:szCs w:val="20"/>
          <w:color w:val="auto"/>
        </w:rPr>
      </w:pPr>
    </w:p>
    <w:p>
      <w:pPr xmlns:w="http://schemas.openxmlformats.org/wordprocessingml/2006/main">
        <w:ind w:left="3" w:hanging="3"/>
        <w:spacing w:after="0" w:line="248" w:lineRule="auto"/>
        <w:tabs>
          <w:tab w:leader="none" w:pos="223" w:val="left"/>
        </w:tabs>
        <w:numPr>
          <w:ilvl w:val="0"/>
          <w:numId w:val="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Αυτό δείχνει πώς το κόστος μειώνει την επιστροφή σας κάθε χρόνο κατά τη διάρκεια της περιόδου αναμονής.</w:t>
      </w:r>
      <w:r>
        <w:rPr xmlns:w="http://schemas.openxmlformats.org/wordprocessingml/2006/main">
          <w:rFonts w:ascii="Arial" w:cs="Arial" w:eastAsia="Arial" w:hAnsi="Arial"/>
          <w:sz w:val="16"/>
          <w:szCs w:val="16"/>
          <w:color w:val="231F20"/>
        </w:rPr>
        <w:t xml:space="preserve"> Για παράδειγμα, δείχνει ότι αν βγείτε στη συνιστώμενη περίοδο εκμετάλλευσης η μέση απόδοση ανά έτος προβλέπεται να είναι 12,3 % πριν από τις δαπάνες και 12,2 % μετά τις δαπάνες.</w:t>
      </w:r>
    </w:p>
    <w:p>
      <w:pPr>
        <w:spacing w:after="0" w:line="14"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Μπορεί να μοιραστούμε μέρος των εξόδων με το άτομο που σας πουλάει το Ταμείο για να καλύψουμε τις υπηρεσίες που σας παρέχουν.</w:t>
      </w:r>
      <w:r>
        <w:rPr xmlns:w="http://schemas.openxmlformats.org/wordprocessingml/2006/main">
          <w:rFonts w:ascii="Arial" w:cs="Arial" w:eastAsia="Arial" w:hAnsi="Arial"/>
          <w:sz w:val="16"/>
          <w:szCs w:val="16"/>
          <w:color w:val="231F20"/>
        </w:rPr>
        <w:t xml:space="preserve"> Θα σας ενημερώσουν για το ποσό.</w:t>
      </w:r>
    </w:p>
    <w:p>
      <w:pPr>
        <w:sectPr>
          <w:pgSz w:w="11900" w:h="16838" w:orient="portrait"/>
          <w:cols w:equalWidth="0" w:num="1">
            <w:col w:w="11103"/>
          </w:cols>
          <w:pgMar w:left="397" w:top="606" w:right="406" w:bottom="1440" w:gutter="0" w:footer="0" w:header="0"/>
          <w:type w:val="continuous"/>
        </w:sectPr>
      </w:pPr>
    </w:p>
    <w:bookmarkStart w:id="2" w:name="page3"/>
    <w:bookmarkEnd w:id="2"/>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Σύνθεση των εξόδων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-18415</wp:posOffset>
            </wp:positionH>
            <wp:positionV relativeFrom="paragraph">
              <wp:posOffset>13335</wp:posOffset>
            </wp:positionV>
            <wp:extent cx="7094220" cy="217551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a:extLst>
                        <a:ext uri="{28A0092B-C50C-407E-A947-70E740481C1C}"/>
                      </a:extLst>
                    </a:blip>
                    <a:srcRect/>
                    <a:stretch>
                      <a:fillRect/>
                    </a:stretch>
                  </pic:blipFill>
                  <pic:spPr bwMode="auto">
                    <a:xfrm>
                      <a:off x="0" y="0"/>
                      <a:ext cx="7094220" cy="2175510"/>
                    </a:xfrm>
                    <a:prstGeom prst="rect">
                      <a:avLst/>
                    </a:prstGeom>
                    <a:noFill/>
                  </pic:spPr>
                </pic:pic>
              </a:graphicData>
            </a:graphic>
          </wp:anchor>
        </w:drawing>
      </w:r>
    </w:p>
    <w:p>
      <w:pPr>
        <w:spacing w:after="0" w:line="202" w:lineRule="exact"/>
        <w:rPr>
          <w:sz w:val="20"/>
          <w:szCs w:val="20"/>
          <w:color w:val="auto"/>
        </w:rPr>
      </w:pPr>
    </w:p>
    <w:tbl>
      <w:tblPr>
        <w:tblLayout w:type="fixed"/>
        <w:tblInd w:w="63" w:type="dxa"/>
        <w:tblCellMar>
          <w:top w:w="0" w:type="dxa"/>
          <w:left w:w="0" w:type="dxa"/>
          <w:bottom w:w="0" w:type="dxa"/>
          <w:right w:w="0" w:type="dxa"/>
        </w:tblCellMar>
      </w:tblPr>
      <w:tr>
        <w:trPr>
          <w:trHeight w:val="229"/>
        </w:trPr>
        <w:tc>
          <w:tcPr>
            <w:tcW w:w="876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Εφάπαξ κόστος κατά την είσοδο ή την έξοδο</w:t>
            </w:r>
          </w:p>
        </w:tc>
        <w:tc>
          <w:tcPr>
            <w:tcW w:w="206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Αν βγείτε μετά από 1 έτος</w:t>
            </w:r>
          </w:p>
        </w:tc>
      </w:tr>
      <w:tr>
        <w:trPr>
          <w:trHeight w:val="287"/>
        </w:trPr>
        <w:tc>
          <w:tcPr>
            <w:tcW w:w="154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231F20"/>
              </w:rPr>
              <w:t xml:space="preserve">Κόστος εισόδου</w:t>
            </w:r>
          </w:p>
        </w:tc>
        <w:tc>
          <w:tcPr>
            <w:tcW w:w="7220" w:type="dxa"/>
            <w:vAlign w:val="bottom"/>
          </w:tcPr>
          <w:p>
            <w:pPr xmlns:w="http://schemas.openxmlformats.org/wordprocessingml/2006/main">
              <w:ind w:left="780"/>
              <w:spacing w:after="0"/>
              <w:rPr>
                <w:sz w:val="20"/>
                <w:szCs w:val="20"/>
                <w:color w:val="auto"/>
              </w:rPr>
            </w:pPr>
            <w:r>
              <w:rPr xmlns:w="http://schemas.openxmlformats.org/wordprocessingml/2006/main">
                <w:rFonts w:ascii="Arial" w:cs="Arial" w:eastAsia="Arial" w:hAnsi="Arial"/>
                <w:sz w:val="16"/>
                <w:szCs w:val="16"/>
                <w:color w:val="231F20"/>
              </w:rPr>
              <w:t xml:space="preserve">Το Ταμείο δεν χρεώνει τέλος εισόδου.</w:t>
            </w:r>
          </w:p>
        </w:tc>
        <w:tc>
          <w:tcPr>
            <w:tcW w:w="2060" w:type="dxa"/>
            <w:vAlign w:val="bottom"/>
          </w:tcPr>
          <w:p>
            <w:pPr xmlns:w="http://schemas.openxmlformats.org/wordprocessingml/2006/main">
              <w:jc w:val="right"/>
              <w:ind w:right="1360"/>
              <w:spacing w:after="0"/>
              <w:rPr>
                <w:sz w:val="20"/>
                <w:szCs w:val="20"/>
                <w:color w:val="auto"/>
              </w:rPr>
            </w:pPr>
            <w:r>
              <w:rPr xmlns:w="http://schemas.openxmlformats.org/wordprocessingml/2006/main">
                <w:rFonts w:ascii="Arial" w:cs="Arial" w:eastAsia="Arial" w:hAnsi="Arial"/>
                <w:sz w:val="16"/>
                <w:szCs w:val="16"/>
                <w:color w:val="231F20"/>
              </w:rPr>
              <w:t xml:space="preserve">0 $</w:t>
            </w:r>
          </w:p>
        </w:tc>
      </w:tr>
      <w:tr>
        <w:trPr>
          <w:trHeight w:val="307"/>
        </w:trPr>
        <w:tc>
          <w:tcPr>
            <w:tcW w:w="154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231F20"/>
              </w:rPr>
              <w:t xml:space="preserve">Δαπάνες εξόδου</w:t>
            </w:r>
          </w:p>
        </w:tc>
        <w:tc>
          <w:tcPr>
            <w:tcW w:w="7220" w:type="dxa"/>
            <w:vAlign w:val="bottom"/>
          </w:tcPr>
          <w:p>
            <w:pPr xmlns:w="http://schemas.openxmlformats.org/wordprocessingml/2006/main">
              <w:ind w:left="780"/>
              <w:spacing w:after="0"/>
              <w:rPr>
                <w:sz w:val="20"/>
                <w:szCs w:val="20"/>
                <w:color w:val="auto"/>
              </w:rPr>
            </w:pPr>
            <w:r>
              <w:rPr xmlns:w="http://schemas.openxmlformats.org/wordprocessingml/2006/main">
                <w:rFonts w:ascii="Arial" w:cs="Arial" w:eastAsia="Arial" w:hAnsi="Arial"/>
                <w:sz w:val="16"/>
                <w:szCs w:val="16"/>
                <w:color w:val="231F20"/>
              </w:rPr>
              <w:t xml:space="preserve">Το Ταμείο δεν χρεώνει τέλος εξόδου, αλλά το πρόσωπο που σας πωλεί το Ταμείο μπορεί να το κάνει.</w:t>
            </w:r>
          </w:p>
        </w:tc>
        <w:tc>
          <w:tcPr>
            <w:tcW w:w="2060" w:type="dxa"/>
            <w:vAlign w:val="bottom"/>
          </w:tcPr>
          <w:p>
            <w:pPr xmlns:w="http://schemas.openxmlformats.org/wordprocessingml/2006/main">
              <w:jc w:val="right"/>
              <w:ind w:right="1360"/>
              <w:spacing w:after="0"/>
              <w:rPr>
                <w:sz w:val="20"/>
                <w:szCs w:val="20"/>
                <w:color w:val="auto"/>
              </w:rPr>
            </w:pPr>
            <w:r>
              <w:rPr xmlns:w="http://schemas.openxmlformats.org/wordprocessingml/2006/main">
                <w:rFonts w:ascii="Arial" w:cs="Arial" w:eastAsia="Arial" w:hAnsi="Arial"/>
                <w:sz w:val="16"/>
                <w:szCs w:val="16"/>
                <w:color w:val="231F20"/>
              </w:rPr>
              <w:t xml:space="preserve">0 $</w:t>
            </w:r>
          </w:p>
        </w:tc>
      </w:tr>
    </w:tbl>
    <w:p>
      <w:pPr>
        <w:spacing w:after="0" w:line="91"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8"/>
          <w:szCs w:val="18"/>
          <w:color w:val="auto"/>
        </w:rPr>
        <w:t xml:space="preserve">Τρέχουσες δαπάνες που αναλαμβάνονται ετησίως</w:t>
      </w:r>
    </w:p>
    <w:p>
      <w:pPr>
        <w:spacing w:after="0" w:line="82"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6"/>
          <w:szCs w:val="16"/>
          <w:color w:val="231F20"/>
        </w:rPr>
        <w:t xml:space="preserve">Έξοδα διαχείρισης και λοιπά</w:t>
      </w:r>
    </w:p>
    <w:p>
      <w:pPr xmlns:w="http://schemas.openxmlformats.org/wordprocessingml/2006/main">
        <w:ind w:left="2383"/>
        <w:spacing w:after="0" w:line="192" w:lineRule="auto"/>
        <w:rPr>
          <w:sz w:val="20"/>
          <w:szCs w:val="20"/>
          <w:color w:val="auto"/>
        </w:rPr>
      </w:pPr>
      <w:r>
        <w:rPr xmlns:w="http://schemas.openxmlformats.org/wordprocessingml/2006/main">
          <w:rFonts w:ascii="Arial" w:cs="Arial" w:eastAsia="Arial" w:hAnsi="Arial"/>
          <w:sz w:val="10"/>
          <w:szCs w:val="10"/>
          <w:color w:val="231F20"/>
        </w:rPr>
        <w:t xml:space="preserve">0,07% της αξίας της επένδυσής σας ετησίως.</w:t>
      </w:r>
      <w:r>
        <w:rPr xmlns:w="http://schemas.openxmlformats.org/wordprocessingml/2006/main">
          <w:rFonts w:ascii="Arial" w:cs="Arial" w:eastAsia="Arial" w:hAnsi="Arial"/>
          <w:sz w:val="10"/>
          <w:szCs w:val="10"/>
          <w:color w:val="231F20"/>
        </w:rPr>
        <w:t xml:space="preserve"> Η εκτίμηση αυτή βασίζεται στο πραγματικό κόστος</w:t>
      </w:r>
    </w:p>
    <w:p>
      <w:pPr xmlns:w="http://schemas.openxmlformats.org/wordprocessingml/2006/main">
        <w:jc w:val="both"/>
        <w:ind w:left="2383" w:right="1680" w:hanging="2319"/>
        <w:spacing w:after="0"/>
        <w:tabs>
          <w:tab w:leader="none" w:pos="2363" w:val="left"/>
        </w:tabs>
        <w:rPr>
          <w:sz w:val="20"/>
          <w:szCs w:val="20"/>
          <w:color w:val="auto"/>
        </w:rPr>
      </w:pPr>
      <w:r>
        <w:rPr xmlns:w="http://schemas.openxmlformats.org/wordprocessingml/2006/main">
          <w:rFonts w:ascii="Arial" w:cs="Arial" w:eastAsia="Arial" w:hAnsi="Arial"/>
          <w:sz w:val="16"/>
          <w:szCs w:val="16"/>
          <w:color w:val="231F20"/>
        </w:rPr>
        <w:t xml:space="preserve">διοικητικό ή λειτουργικό</w:t>
        <w:tab xmlns:w="http://schemas.openxmlformats.org/wordprocessingml/2006/main"/>
      </w:r>
      <w:r>
        <w:rPr xmlns:w="http://schemas.openxmlformats.org/wordprocessingml/2006/main">
          <w:rFonts w:ascii="Arial" w:cs="Arial" w:eastAsia="Arial" w:hAnsi="Arial"/>
          <w:sz w:val="16"/>
          <w:szCs w:val="16"/>
          <w:color w:val="231F20"/>
        </w:rPr>
        <w:t xml:space="preserve">$7 το τελευταίο έτος και λαμβάνει υπόψη τυχόν γνωστές μελλοντικές αλλαγές.</w:t>
      </w:r>
    </w:p>
    <w:p>
      <w:pPr xmlns:w="http://schemas.openxmlformats.org/wordprocessingml/2006/main">
        <w:ind w:left="63"/>
        <w:spacing w:after="0" w:line="217" w:lineRule="auto"/>
        <w:rPr>
          <w:sz w:val="20"/>
          <w:szCs w:val="20"/>
          <w:color w:val="auto"/>
        </w:rPr>
      </w:pPr>
      <w:r>
        <w:rPr xmlns:w="http://schemas.openxmlformats.org/wordprocessingml/2006/main">
          <w:rFonts w:ascii="Arial" w:cs="Arial" w:eastAsia="Arial" w:hAnsi="Arial"/>
          <w:sz w:val="16"/>
          <w:szCs w:val="16"/>
          <w:color w:val="231F20"/>
        </w:rPr>
        <w:t xml:space="preserve">δαπάνες</w:t>
      </w:r>
    </w:p>
    <w:p>
      <w:pPr>
        <w:spacing w:after="0" w:line="93" w:lineRule="exact"/>
        <w:rPr>
          <w:sz w:val="20"/>
          <w:szCs w:val="20"/>
          <w:color w:val="auto"/>
        </w:rPr>
      </w:pPr>
    </w:p>
    <w:p>
      <w:pPr xmlns:w="http://schemas.openxmlformats.org/wordprocessingml/2006/main">
        <w:ind w:left="2383"/>
        <w:spacing w:after="0"/>
        <w:rPr>
          <w:sz w:val="20"/>
          <w:szCs w:val="20"/>
          <w:color w:val="auto"/>
        </w:rPr>
      </w:pPr>
      <w:r>
        <w:rPr xmlns:w="http://schemas.openxmlformats.org/wordprocessingml/2006/main">
          <w:rFonts w:ascii="Arial" w:cs="Arial" w:eastAsia="Arial" w:hAnsi="Arial"/>
          <w:sz w:val="16"/>
          <w:szCs w:val="16"/>
          <w:color w:val="231F20"/>
        </w:rPr>
        <w:t xml:space="preserve">0,02% της αξίας της επένδυσής σας ετησίως.</w:t>
      </w:r>
      <w:r>
        <w:rPr xmlns:w="http://schemas.openxmlformats.org/wordprocessingml/2006/main">
          <w:rFonts w:ascii="Arial" w:cs="Arial" w:eastAsia="Arial" w:hAnsi="Arial"/>
          <w:sz w:val="16"/>
          <w:szCs w:val="16"/>
          <w:color w:val="231F20"/>
        </w:rPr>
        <w:t xml:space="preserve"> Αυτό αποτελεί εκτίμηση των δαπανών που πραγματοποιήθηκαν όταν</w:t>
      </w:r>
    </w:p>
    <w:p>
      <w:pPr>
        <w:spacing w:after="0" w:line="31" w:lineRule="exact"/>
        <w:rPr>
          <w:sz w:val="20"/>
          <w:szCs w:val="20"/>
          <w:color w:val="auto"/>
        </w:rPr>
      </w:pPr>
    </w:p>
    <w:p>
      <w:pPr xmlns:w="http://schemas.openxmlformats.org/wordprocessingml/2006/main">
        <w:jc w:val="both"/>
        <w:ind w:left="2383" w:right="1680" w:hanging="2319"/>
        <w:spacing w:after="0" w:line="239" w:lineRule="auto"/>
        <w:tabs>
          <w:tab w:leader="none" w:pos="2363" w:val="left"/>
        </w:tabs>
        <w:rPr>
          <w:sz w:val="20"/>
          <w:szCs w:val="20"/>
          <w:color w:val="auto"/>
        </w:rPr>
      </w:pPr>
      <w:r>
        <w:rPr xmlns:w="http://schemas.openxmlformats.org/wordprocessingml/2006/main">
          <w:rFonts w:ascii="Arial" w:cs="Arial" w:eastAsia="Arial" w:hAnsi="Arial"/>
          <w:sz w:val="16"/>
          <w:szCs w:val="16"/>
          <w:color w:val="231F20"/>
        </w:rPr>
        <w:t xml:space="preserve">Κόστος συναλλαγής</w:t>
        <w:tab xmlns:w="http://schemas.openxmlformats.org/wordprocessingml/2006/main"/>
      </w:r>
      <w:r>
        <w:rPr xmlns:w="http://schemas.openxmlformats.org/wordprocessingml/2006/main">
          <w:rFonts w:ascii="Arial" w:cs="Arial" w:eastAsia="Arial" w:hAnsi="Arial"/>
          <w:sz w:val="16"/>
          <w:szCs w:val="16"/>
          <w:color w:val="231F20"/>
        </w:rPr>
        <w:t xml:space="preserve">αγοράζουμε και πουλάμε τις υποκείμενες επενδύσεις για το Ταμείο.</w:t>
      </w:r>
      <w:r>
        <w:rPr xmlns:w="http://schemas.openxmlformats.org/wordprocessingml/2006/main">
          <w:rFonts w:ascii="Arial" w:cs="Arial" w:eastAsia="Arial" w:hAnsi="Arial"/>
          <w:sz w:val="16"/>
          <w:szCs w:val="16"/>
          <w:color w:val="231F20"/>
        </w:rPr>
        <w:t xml:space="preserve"> Το πραγματικό ποσό θα ποικίλει $ 2 ανάλογα με το πόσο αγοράζουμε και πουλάμε.</w:t>
      </w:r>
    </w:p>
    <w:p>
      <w:pPr>
        <w:spacing w:after="0" w:line="92"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8"/>
          <w:szCs w:val="18"/>
          <w:color w:val="auto"/>
        </w:rPr>
        <w:t xml:space="preserve">Παρεμπίπτοντα έξοδα που αναλαμβάνονται υπό ειδικές συνθήκες</w:t>
      </w:r>
    </w:p>
    <w:p>
      <w:pPr>
        <w:spacing w:after="0" w:line="17"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6"/>
          <w:szCs w:val="16"/>
          <w:color w:val="231F20"/>
        </w:rPr>
        <w:t xml:space="preserve">Τέλη επίδοσης</w:t>
      </w:r>
      <w:r xmlns:w="http://schemas.openxmlformats.org/wordprocessingml/2006/main">
        <w:rPr>
          <w:sz w:val="1"/>
          <w:szCs w:val="1"/>
          <w:color w:val="auto"/>
        </w:rPr>
        <w:drawing>
          <wp:inline xmlns:wp="http://schemas.openxmlformats.org/drawingml/2006/wordprocessingDrawing" distT="0" distB="0" distL="0" distR="0">
            <wp:extent cx="43180" cy="23304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8">
                      <a:extLst>
                        <a:ext uri="{28A0092B-C50C-407E-A947-70E740481C1C}"/>
                      </a:extLst>
                    </a:blip>
                    <a:srcRect/>
                    <a:stretch>
                      <a:fillRect/>
                    </a:stretch>
                  </pic:blipFill>
                  <pic:spPr bwMode="auto">
                    <a:xfrm>
                      <a:off x="0" y="0"/>
                      <a:ext cx="43180" cy="23304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Δεν υπάρχει τέλος επίδοσης για το εν λόγω Ταμείο.</w:t>
      </w:r>
      <w:r>
        <w:rPr xmlns:w="http://schemas.openxmlformats.org/wordprocessingml/2006/main">
          <w:rFonts w:ascii="Arial" w:cs="Arial" w:eastAsia="Arial" w:hAnsi="Arial"/>
          <w:sz w:val="16"/>
          <w:szCs w:val="16"/>
          <w:color w:val="231F20"/>
        </w:rPr>
        <w:t xml:space="preserve">                                            </w:t>
      </w:r>
      <w:r xmlns:w="http://schemas.openxmlformats.org/wordprocessingml/2006/main">
        <w:rPr>
          <w:sz w:val="1"/>
          <w:szCs w:val="1"/>
          <w:color w:val="auto"/>
        </w:rPr>
        <w:drawing>
          <wp:inline xmlns:wp="http://schemas.openxmlformats.org/drawingml/2006/wordprocessingDrawing" distT="0" distB="0" distL="0" distR="0">
            <wp:extent cx="43180" cy="23304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9">
                      <a:extLst>
                        <a:ext uri="{28A0092B-C50C-407E-A947-70E740481C1C}"/>
                      </a:extLst>
                    </a:blip>
                    <a:srcRect/>
                    <a:stretch>
                      <a:fillRect/>
                    </a:stretch>
                  </pic:blipFill>
                  <pic:spPr bwMode="auto">
                    <a:xfrm>
                      <a:off x="0" y="0"/>
                      <a:ext cx="43180" cy="23304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0 $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-18415</wp:posOffset>
            </wp:positionH>
            <wp:positionV relativeFrom="paragraph">
              <wp:posOffset>36830</wp:posOffset>
            </wp:positionV>
            <wp:extent cx="7094220" cy="4445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0">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p>
    <w:p>
      <w:pPr>
        <w:spacing w:after="0" w:line="119"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Πόσο καιρό θα πρέπει να το κρατήσω και μπορώ να βγάλω χρήματα νωρίς;</w:t>
      </w:r>
    </w:p>
    <w:p>
      <w:pPr>
        <w:spacing w:after="0" w:line="108"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Συνιστώμενη περίοδος διατήρησης:</w:t>
      </w:r>
      <w:r>
        <w:rPr xmlns:w="http://schemas.openxmlformats.org/wordprocessingml/2006/main">
          <w:rFonts w:ascii="Arial" w:cs="Arial" w:eastAsia="Arial" w:hAnsi="Arial"/>
          <w:sz w:val="16"/>
          <w:szCs w:val="16"/>
          <w:b w:val="1"/>
          <w:bCs w:val="1"/>
          <w:color w:val="231F20"/>
        </w:rPr>
        <w:t xml:space="preserve"> 5 χρόνια</w:t>
      </w:r>
    </w:p>
    <w:p>
      <w:pPr>
        <w:spacing w:after="0" w:line="54"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Το Ταμείο δεν έχει την απαιτούμενη ελάχιστη περίοδο διατήρησης, αλλά έχει σχεδιαστεί για μακροπρόθεσμες επενδύσεις·</w:t>
      </w:r>
      <w:r>
        <w:rPr xmlns:w="http://schemas.openxmlformats.org/wordprocessingml/2006/main">
          <w:rFonts w:ascii="Arial" w:cs="Arial" w:eastAsia="Arial" w:hAnsi="Arial"/>
          <w:sz w:val="16"/>
          <w:szCs w:val="16"/>
          <w:color w:val="231F20"/>
        </w:rPr>
        <w:t xml:space="preserve"> θα πρέπει να έχετε έναν επενδυτικό ορίζοντα τουλάχιστον 5 ετών.</w:t>
      </w:r>
    </w:p>
    <w:p>
      <w:pPr>
        <w:spacing w:after="0" w:line="50"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Βλέπε το τμήμα του ενημερωτικού δελτίου με τίτλο «Εξαγορά μετοχών» για ορισμένες αμοιβές που καταβάλλονται σε σχέση με εξαγορές.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-18415</wp:posOffset>
            </wp:positionH>
            <wp:positionV relativeFrom="paragraph">
              <wp:posOffset>-4445</wp:posOffset>
            </wp:positionV>
            <wp:extent cx="7094220" cy="4445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1">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p>
    <w:p>
      <w:pPr>
        <w:spacing w:after="0" w:line="53"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Πώς μπορώ να παραπονεθώ;</w:t>
      </w:r>
    </w:p>
    <w:p>
      <w:pPr>
        <w:spacing w:after="0" w:line="112" w:lineRule="exact"/>
        <w:rPr>
          <w:sz w:val="20"/>
          <w:szCs w:val="20"/>
          <w:color w:val="auto"/>
        </w:rPr>
      </w:pPr>
    </w:p>
    <w:p>
      <w:pPr xmlns:w="http://schemas.openxmlformats.org/wordprocessingml/2006/main">
        <w:jc w:val="both"/>
        <w:ind w:left="3"/>
        <w:spacing w:after="0" w:line="222" w:lineRule="auto"/>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Αν είστε επενδυτής στην VF σειρά μας Διαπραγματεύσιμα Αμοιβαία Κεφάλαια (ETFs), μπορεί να είναι κατάλληλο για σας να συνδέσει άμεσα με την τράπεζα, μεσίτη, πλατφόρμα συναλλαγών ή χρηματοοικονομικό σύμβουλο μέσω του οποίου αγοράσατε τις μετοχές σας, ιδιαίτερα αν το παράπονό σας σχετίζεται με την υπηρεσία.</w:t>
      </w:r>
      <w:r>
        <w:rPr xmlns:w="http://schemas.openxmlformats.org/wordprocessingml/2006/main">
          <w:rFonts w:ascii="Arial" w:cs="Arial" w:eastAsia="Arial" w:hAnsi="Arial"/>
          <w:sz w:val="16"/>
          <w:szCs w:val="16"/>
          <w:color w:val="231F20"/>
        </w:rPr>
        <w:t xml:space="preserve"> Παρακαλώ σημειώστε ότι συνήθως θα σας δώσουμε απαντήσεις στα αγγλικά.</w:t>
      </w:r>
      <w:r>
        <w:rPr xmlns:w="http://schemas.openxmlformats.org/wordprocessingml/2006/main">
          <w:rFonts w:ascii="Arial" w:cs="Arial" w:eastAsia="Arial" w:hAnsi="Arial"/>
          <w:sz w:val="16"/>
          <w:szCs w:val="16"/>
          <w:color w:val="231F20"/>
        </w:rPr>
        <w:t xml:space="preserve"> Αν για οποιονδήποτε λόγο αντιμετωπίζετε προβλήματα με την υποβολή της καταγγελίας σας σε εμάς, τότε επικοινωνήστε με την Vanguard, 4th Floor, The Walbrook Building, 25 Walbrook, London, EC4N 8AF ή European_client_services@vanguard.co.uk.</w:t>
      </w:r>
      <w:r>
        <w:rPr xmlns:w="http://schemas.openxmlformats.org/wordprocessingml/2006/main">
          <w:rFonts w:ascii="Arial" w:cs="Arial" w:eastAsia="Arial" w:hAnsi="Arial"/>
          <w:sz w:val="16"/>
          <w:szCs w:val="16"/>
          <w:color w:val="231F20"/>
        </w:rPr>
        <w:t xml:space="preserve"> Παρακαλούμε επίσης να γνωρίζετε ότι ενδέχεται να υπάρχουν μηχανισμοί συλλογικής έννομης προστασίας ή ξεχωριστές ρυθμίσεις για τον διαμεσολαβητή διαθέσιμες στη χώρα σας.</w:t>
      </w:r>
      <w:r>
        <w:rPr xmlns:w="http://schemas.openxmlformats.org/wordprocessingml/2006/main">
          <w:rFonts w:ascii="Arial" w:cs="Arial" w:eastAsia="Arial" w:hAnsi="Arial"/>
          <w:sz w:val="16"/>
          <w:szCs w:val="16"/>
          <w:color w:val="0000FF"/>
        </w:rPr>
        <w:t xml:space="preserve"> </w:t>
      </w:r>
      <w:hyperlink r:id="rId32">
        <w:r>
          <w:rPr xmlns:w="http://schemas.openxmlformats.org/wordprocessingml/2006/main">
            <w:rFonts w:ascii="Arial" w:cs="Arial" w:eastAsia="Arial" w:hAnsi="Arial"/>
            <w:sz w:val="16"/>
            <w:szCs w:val="16"/>
            <w:color w:val="0000FF"/>
          </w:rPr>
          <w:t xml:space="preserve">https://global.vanguard.com/</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-18415</wp:posOffset>
            </wp:positionH>
            <wp:positionV relativeFrom="paragraph">
              <wp:posOffset>-21590</wp:posOffset>
            </wp:positionV>
            <wp:extent cx="7094220" cy="4445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3">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p>
    <w:p>
      <w:pPr>
        <w:spacing w:after="0" w:line="26"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Άλλες σχετικές πληροφορίες</w:t>
      </w:r>
    </w:p>
    <w:p>
      <w:pPr>
        <w:spacing w:after="0" w:line="112"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Μπορείτε να βρείτε πληροφορίες σχετικά με τις προηγούμενες επιδόσεις του Ταμείου για τα τελευταία 3 χρόνια στη διεύθυνση:</w:t>
      </w:r>
    </w:p>
    <w:p>
      <w:pPr>
        <w:spacing w:after="0" w:line="31" w:lineRule="exact"/>
        <w:rPr>
          <w:sz w:val="20"/>
          <w:szCs w:val="20"/>
          <w:color w:val="auto"/>
        </w:rPr>
      </w:pPr>
    </w:p>
    <w:p>
      <w:pPr xmlns:w="http://schemas.openxmlformats.org/wordprocessingml/2006/main">
        <w:ind w:left="103" w:hanging="103"/>
        <w:spacing w:after="0"/>
        <w:tabs>
          <w:tab w:leader="none" w:pos="103" w:val="left"/>
        </w:tabs>
        <w:numPr>
          <w:ilvl w:val="0"/>
          <w:numId w:val="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https://docs.data2report.lu/documents/KIDPP/Vanguard_KIDPP_annex_en_IE00BFMXXD54.pdf.</w:t>
      </w:r>
    </w:p>
    <w:p>
      <w:pPr>
        <w:spacing w:after="0" w:line="8" w:lineRule="exact"/>
        <w:rPr>
          <w:rFonts w:ascii="Arial" w:cs="Arial" w:eastAsia="Arial" w:hAnsi="Arial"/>
          <w:sz w:val="16"/>
          <w:szCs w:val="16"/>
          <w:color w:val="231F20"/>
        </w:rPr>
      </w:pPr>
    </w:p>
    <w:p>
      <w:pPr xmlns:w="http://schemas.openxmlformats.org/wordprocessingml/2006/main">
        <w:ind w:left="103" w:hanging="103"/>
        <w:spacing w:after="0"/>
        <w:tabs>
          <w:tab w:leader="none" w:pos="103" w:val="left"/>
        </w:tabs>
        <w:numPr>
          <w:ilvl w:val="0"/>
          <w:numId w:val="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https://docs.data2report.lu/documents/KIDPS/Vanguard_KIDPS_annex_en_IE00BFMXXD54.pdf.</w:t>
      </w:r>
    </w:p>
    <w:p>
      <w:pPr>
        <w:spacing w:after="0" w:line="27" w:lineRule="exact"/>
        <w:rPr>
          <w:sz w:val="20"/>
          <w:szCs w:val="20"/>
          <w:color w:val="auto"/>
        </w:rPr>
      </w:pPr>
    </w:p>
    <w:p>
      <w:pPr xmlns:w="http://schemas.openxmlformats.org/wordprocessingml/2006/main">
        <w:jc w:val="both"/>
        <w:ind w:left="3"/>
        <w:spacing w:after="0" w:line="220" w:lineRule="auto"/>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Λεπτομερή στοιχεία για την πολιτική αποδοχών της VGIL διατίθενται στη διεύθυνση </w:t>
      </w:r>
      <w:hyperlink r:id="rId34">
        <w:r>
          <w:rPr xmlns:w="http://schemas.openxmlformats.org/wordprocessingml/2006/main">
            <w:rFonts w:ascii="Arial" w:cs="Arial" w:eastAsia="Arial" w:hAnsi="Arial"/>
            <w:sz w:val="16"/>
            <w:szCs w:val="16"/>
            <w:color w:val="0000FF"/>
          </w:rPr>
          <w:t xml:space="preserve">https://www.ie.vanguard/content/dam/intl/europe/documents/ch/en/ucits-v-remuneration-policy.pdf</w:t>
        </w:r>
      </w:hyperlink>
      <w:r>
        <w:rPr xmlns:w="http://schemas.openxmlformats.org/wordprocessingml/2006/main">
          <w:rFonts w:ascii="Arial" w:cs="Arial" w:eastAsia="Arial" w:hAnsi="Arial"/>
          <w:sz w:val="16"/>
          <w:szCs w:val="16"/>
          <w:color w:val="231F20"/>
        </w:rPr>
        <w:t xml:space="preserve">, μεταξύ άλλων:</w:t>
      </w:r>
      <w:r>
        <w:rPr xmlns:w="http://schemas.openxmlformats.org/wordprocessingml/2006/main">
          <w:rFonts w:ascii="Arial" w:cs="Arial" w:eastAsia="Arial" w:hAnsi="Arial"/>
          <w:sz w:val="16"/>
          <w:szCs w:val="16"/>
          <w:color w:val="231F20"/>
        </w:rPr>
        <w:t xml:space="preserve"> α) περιγραφή του τρόπου υπολογισμού των αποδοχών και των παροχών·</w:t>
      </w:r>
      <w:r>
        <w:rPr xmlns:w="http://schemas.openxmlformats.org/wordprocessingml/2006/main">
          <w:rFonts w:ascii="Arial" w:cs="Arial" w:eastAsia="Arial" w:hAnsi="Arial"/>
          <w:sz w:val="16"/>
          <w:szCs w:val="16"/>
          <w:color w:val="231F20"/>
        </w:rPr>
        <w:t xml:space="preserve"> την ταυτότητα των προσώπων που είναι υπεύθυνα για τη χορήγηση των αποδοχών και των παροχών.</w:t>
      </w:r>
      <w:r>
        <w:rPr xmlns:w="http://schemas.openxmlformats.org/wordprocessingml/2006/main">
          <w:rFonts w:ascii="Arial" w:cs="Arial" w:eastAsia="Arial" w:hAnsi="Arial"/>
          <w:sz w:val="16"/>
          <w:szCs w:val="16"/>
          <w:color w:val="231F20"/>
        </w:rPr>
        <w:t xml:space="preserve"> Αντίτυπο αυτών των στοιχείων διατίθεται δωρεάν, κατόπιν αιτήματος της VGIL στο 70 Sir John Rogerson's Quay, Dublin 2, Ireland.</w:t>
      </w:r>
      <w:r>
        <w:rPr xmlns:w="http://schemas.openxmlformats.org/wordprocessingml/2006/main">
          <w:rFonts w:ascii="Arial" w:cs="Arial" w:eastAsia="Arial" w:hAnsi="Arial"/>
          <w:sz w:val="16"/>
          <w:szCs w:val="16"/>
          <w:color w:val="231F20"/>
        </w:rPr>
        <w:t xml:space="preserve"> Ευθύνη:</w:t>
      </w:r>
      <w:r>
        <w:rPr xmlns:w="http://schemas.openxmlformats.org/wordprocessingml/2006/main">
          <w:rFonts w:ascii="Arial" w:cs="Arial" w:eastAsia="Arial" w:hAnsi="Arial"/>
          <w:sz w:val="16"/>
          <w:szCs w:val="16"/>
          <w:color w:val="231F20"/>
        </w:rPr>
        <w:t xml:space="preserve"> Η VGIL μπορεί να θεωρηθεί υπεύθυνη μόνο βάσει οποιασδήποτε δήλωσης που περιέχεται στο παρόν έγγραφο η οποία είναι παραπλανητική, ανακριβής ή ασυνεπής με τα σχετικά μέρη του ενημερωτικού δελτίου.</w:t>
      </w:r>
      <w:r>
        <w:rPr xmlns:w="http://schemas.openxmlformats.org/wordprocessingml/2006/main">
          <w:rFonts w:ascii="Arial" w:cs="Arial" w:eastAsia="Arial" w:hAnsi="Arial"/>
          <w:sz w:val="16"/>
          <w:szCs w:val="16"/>
          <w:color w:val="231F20"/>
        </w:rPr>
        <w:t xml:space="preserve"> Φόρος:</w:t>
      </w:r>
      <w:r>
        <w:rPr xmlns:w="http://schemas.openxmlformats.org/wordprocessingml/2006/main">
          <w:rFonts w:ascii="Arial" w:cs="Arial" w:eastAsia="Arial" w:hAnsi="Arial"/>
          <w:sz w:val="16"/>
          <w:szCs w:val="16"/>
          <w:color w:val="231F20"/>
        </w:rPr>
        <w:t xml:space="preserve"> Ο VF υπόκειται στους φορολογικούς νόμους της Ιρλανδίας.</w:t>
      </w:r>
      <w:r>
        <w:rPr xmlns:w="http://schemas.openxmlformats.org/wordprocessingml/2006/main">
          <w:rFonts w:ascii="Arial" w:cs="Arial" w:eastAsia="Arial" w:hAnsi="Arial"/>
          <w:sz w:val="16"/>
          <w:szCs w:val="16"/>
          <w:color w:val="231F20"/>
        </w:rPr>
        <w:t xml:space="preserve"> Ανάλογα με τη χώρα διαμονής σας, αυτό μπορεί να έχει επιπτώσεις στην προσωπική σας φορολογική θέση.</w:t>
      </w:r>
      <w:r>
        <w:rPr xmlns:w="http://schemas.openxmlformats.org/wordprocessingml/2006/main">
          <w:rFonts w:ascii="Arial" w:cs="Arial" w:eastAsia="Arial" w:hAnsi="Arial"/>
          <w:sz w:val="16"/>
          <w:szCs w:val="16"/>
          <w:color w:val="231F20"/>
        </w:rPr>
        <w:t xml:space="preserve"> Συνιστάται να συμβουλευτείτε τον επαγγελματία φορολογικό σύμβουλό σας.</w:t>
      </w:r>
    </w:p>
    <w:sectPr>
      <w:pgSz w:w="11900" w:h="16838" w:orient="portrait"/>
      <w:cols w:equalWidth="0" w:num="1">
        <w:col w:w="11103"/>
      </w:cols>
      <w:pgMar w:left="397" w:top="589" w:right="406"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A90ACD1"/>
    <w:multiLevelType w:val="hybridMultilevel"/>
    <w:lvl w:ilvl="0">
      <w:lvlJc w:val="left"/>
      <w:lvlText w:val="%1."/>
      <w:numFmt w:val="decimal"/>
      <w:start w:val="1"/>
    </w:lvl>
  </w:abstractNum>
  <w:abstractNum w:abstractNumId="1">
    <w:nsid w:val="27A61B9F"/>
    <w:multiLevelType w:val="hybridMultilevel"/>
    <w:lvl w:ilvl="0">
      <w:lvlJc w:val="left"/>
      <w:lvlText w:val="-"/>
      <w:numFmt w:val="bullet"/>
      <w:start w:val="1"/>
    </w:lvl>
  </w:abstractNum>
  <w:abstractNum w:abstractNumId="2">
    <w:nsid w:val="7DC4F89F"/>
    <w:multiLevelType w:val="hybridMultilevel"/>
    <w:lvl w:ilvl="0">
      <w:lvlJc w:val="left"/>
      <w:lvlText w:val="(*)"/>
      <w:numFmt w:val="bullet"/>
      <w:start w:val="1"/>
    </w:lvl>
  </w:abstractNum>
  <w:abstractNum w:abstractNumId="3">
    <w:nsid w:val="2E89A860"/>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8" Type="http://schemas.openxmlformats.org/officeDocument/2006/relationships/image" Target="media/image5.png"/><Relationship Id="rId19" Type="http://schemas.openxmlformats.org/officeDocument/2006/relationships/image" Target="media/image6.png"/><Relationship Id="rId20" Type="http://schemas.openxmlformats.org/officeDocument/2006/relationships/image" Target="media/image7.png"/><Relationship Id="rId21" Type="http://schemas.openxmlformats.org/officeDocument/2006/relationships/image" Target="media/image8.jpeg"/><Relationship Id="rId22" Type="http://schemas.openxmlformats.org/officeDocument/2006/relationships/image" Target="media/image9.png"/><Relationship Id="rId23" Type="http://schemas.openxmlformats.org/officeDocument/2006/relationships/image" Target="media/image10.png"/><Relationship Id="rId24" Type="http://schemas.openxmlformats.org/officeDocument/2006/relationships/image" Target="media/image11.png"/><Relationship Id="rId25" Type="http://schemas.openxmlformats.org/officeDocument/2006/relationships/image" Target="media/image12.png"/><Relationship Id="rId26" Type="http://schemas.openxmlformats.org/officeDocument/2006/relationships/image" Target="media/image13.png"/><Relationship Id="rId27" Type="http://schemas.openxmlformats.org/officeDocument/2006/relationships/image" Target="media/image14.png"/><Relationship Id="rId28" Type="http://schemas.openxmlformats.org/officeDocument/2006/relationships/image" Target="media/image15.png"/><Relationship Id="rId29" Type="http://schemas.openxmlformats.org/officeDocument/2006/relationships/image" Target="media/image16.png"/><Relationship Id="rId30" Type="http://schemas.openxmlformats.org/officeDocument/2006/relationships/image" Target="media/image17.png"/><Relationship Id="rId31" Type="http://schemas.openxmlformats.org/officeDocument/2006/relationships/image" Target="media/image18.png"/><Relationship Id="rId33" Type="http://schemas.openxmlformats.org/officeDocument/2006/relationships/image" Target="media/image19.png"/><Relationship Id="rId16" Type="http://schemas.openxmlformats.org/officeDocument/2006/relationships/hyperlink" Target="https://global.vanguard.com" TargetMode="External"/><Relationship Id="rId17" Type="http://schemas.openxmlformats.org/officeDocument/2006/relationships/hyperlink" Target="https://global.vanguard.com/portal/site/portal/ucits-documentation" TargetMode="External"/><Relationship Id="rId32" Type="http://schemas.openxmlformats.org/officeDocument/2006/relationships/hyperlink" Target="https://global.vanguard.com/" TargetMode="External"/><Relationship Id="rId34" Type="http://schemas.openxmlformats.org/officeDocument/2006/relationships/hyperlink" Target="https://www.ie.vanguard/content/dam/intl/europe/documents/ch/en/ucits-v-remuneration-policy.pdf"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2024-05-20T15:42:26Z</dcterms:created>
  <dcterms:modified xsi:type="dcterms:W3CDTF">2024-05-20T15:42:26Z</dcterms:modified>
</cp:coreProperties>
</file>