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68.4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68.4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68.4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68.4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89254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254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89254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254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Τυποποιημένες Επιλογές Συναλλάγματος (Long Call)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ind w:right="40"/>
        <w:spacing w:after="0" w:line="22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Τυποποιημένα Δικαιώματα Προαίρεσης Σε Ξένο Νόμισμα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της ΕΕ αριθ. 1286/2014 για τυποποιημένα δικαιώματα προαίρεσης σε συνάλλαγμα ("FX") (α/κ/α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συναλλάγματος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καταχωρημένο οργανισμό εκκαθάρισης της SEC.</w:t>
      </w:r>
    </w:p>
    <w:p>
      <w:pPr>
        <w:spacing w:after="0" w:line="70" w:lineRule="exact"/>
        <w:rPr>
          <w:sz w:val="24"/>
          <w:szCs w:val="24"/>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Επικαιροποιήθηκε στις 28 Δεκεμβρίου 2022 και στις 20 Απριλίου 2023.</w:t>
      </w:r>
    </w:p>
    <w:p>
      <w:pPr>
        <w:spacing w:after="0" w:line="77" w:lineRule="exact"/>
        <w:rPr>
          <w:sz w:val="24"/>
          <w:szCs w:val="24"/>
          <w:color w:val="auto"/>
        </w:rPr>
      </w:pPr>
    </w:p>
    <w:p>
      <w:pPr xmlns:w="http://schemas.openxmlformats.org/wordprocessingml/2006/main">
        <w:ind w:right="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ανταλλάσσουν τυποποιημένα δικαιώματα προαίρεσης επί συναλλάγματος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δικαιωμάτων προαίρεσης,</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542861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542861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427.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5" w:lineRule="exact"/>
        <w:rPr>
          <w:sz w:val="24"/>
          <w:szCs w:val="24"/>
          <w:color w:val="auto"/>
        </w:r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Ένα τυποποιημένο δικαίωμα προαίρεσης επί συναλλάγματος είναι το δικαίωμα αγοράς ή πώλησης ενός νομίσματος («υποκείμενο νόμισμα») σε μια καθορισμένη τιμή («τιμή άσκησης») εκφρασμένη σε άλλο νόμισμα («νόμισμα διαπραγμάτευσης»), που αντιπροσωπεύει τη «συναλλαγματική ισοτιμία» μεταξύ των νομισμάτων, ασκώντας το δικαίωμα προαίρεσης πριν από τη λήξη.</w:t>
      </w:r>
      <w:r>
        <w:rPr xmlns:w="http://schemas.openxmlformats.org/wordprocessingml/2006/main">
          <w:rFonts w:ascii="Calibri" w:cs="Calibri" w:eastAsia="Calibri" w:hAnsi="Calibri"/>
          <w:sz w:val="22"/>
          <w:szCs w:val="22"/>
          <w:color w:val="auto"/>
        </w:rPr>
        <w:t xml:space="preserve"> Το άνοιγμα στο υποκείμενο νόμισμα είναι επομένως έμμεσο, επειδή η αξία του δικαιώματος προαίρεσης προκύπτει από την αξία του υποκείμενου νομίσματος.</w:t>
      </w:r>
      <w:r>
        <w:rPr xmlns:w="http://schemas.openxmlformats.org/wordprocessingml/2006/main">
          <w:rFonts w:ascii="Calibri" w:cs="Calibri" w:eastAsia="Calibri" w:hAnsi="Calibri"/>
          <w:sz w:val="22"/>
          <w:szCs w:val="22"/>
          <w:color w:val="auto"/>
        </w:rPr>
        <w:t xml:space="preserve"> Οι ημερομηνίες λήξης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Σε ορισμένες περιπτώσεις, μια ενέργεια του εκδότη συναλλάγματος μπορεί να οδηγήσει σε αλλαγή των όρων του δικαιώματος προαίρεσης σύμφωνα με τους κανόνες του OCC, οι οποίοι μπορεί να διαφέρουν από τη μεθοδολογία στις ευρωπαϊκές αγορές.</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(αγοραστής)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«ασφάλιστρο».</w:t>
      </w:r>
      <w:r>
        <w:rPr xmlns:w="http://schemas.openxmlformats.org/wordprocessingml/2006/main">
          <w:rFonts w:ascii="Calibri" w:cs="Calibri" w:eastAsia="Calibri" w:hAnsi="Calibri"/>
          <w:sz w:val="22"/>
          <w:szCs w:val="22"/>
          <w:color w:val="auto"/>
        </w:rPr>
        <w:t xml:space="preserve"> Ο εκδότης του δικαιώματος προαίρεσης υποχρεούται - αν και όταν του ανατίθεται μια άσκηση - να εκτελεί σύμφωνα με τους όρους αγοράς ή πώλησης του υποκείμενου νομίσματος στην τιμή άσκησης.</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αμερικανικό δικαίωμα προαίρεσης μπορεί να ασκηθεί από έναν κάτοχο οποιαδήποτε στιγμή πριν από τη λήξη, ενώ ένα ευρωπαϊκό δικαίωμα προαίρεσης μπορεί να ασκηθεί μόνο κατά τη διάρκεια μιας καθορισμένης περιόδου πριν από τη λήξη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συναλλάγματος διακανονίζονται συνήθως με φυσική μορφή, αλλά μπορούν επίσης να διακανονίζονται σε μετρητά.</w:t>
      </w:r>
      <w:r>
        <w:rPr xmlns:w="http://schemas.openxmlformats.org/wordprocessingml/2006/main">
          <w:rFonts w:ascii="Calibri" w:cs="Calibri" w:eastAsia="Calibri" w:hAnsi="Calibri"/>
          <w:sz w:val="22"/>
          <w:szCs w:val="22"/>
          <w:color w:val="auto"/>
        </w:rPr>
        <w:t xml:space="preserve"> Ο φυσικός διακανονισμός παρέχει στον κάτοχο το δικαίωμα λήψης (κλήσης) ή πραγματοποίησης (πώλησης) της φυσικής παράδοσης του υποκείμενου μέσου κατά την άσκηση.</w:t>
      </w:r>
      <w:r>
        <w:rPr xmlns:w="http://schemas.openxmlformats.org/wordprocessingml/2006/main">
          <w:rFonts w:ascii="Calibri" w:cs="Calibri" w:eastAsia="Calibri" w:hAnsi="Calibri"/>
          <w:sz w:val="22"/>
          <w:szCs w:val="22"/>
          <w:color w:val="auto"/>
        </w:rPr>
        <w:t xml:space="preserve"> Στο πλαίσιο διακανονισμού σε μετρητά, ο κάτοχος έχει το δικαίωμα να λάβει καταβολή μετρητών, αν η προσδιοριζόμενη αξία του υποκείμενου μέσου κατά την άσκηση υπερβαίνει (call) ή είναι μικρότερη (put) από την τιμή άσκησης.</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των υποκείμενων νομισμάτων και των νομισμάτων διαπραγμάτευσης και την ευαισθησία τους στις διακυμάνσεις των τιμών (μεταβλητότητα).</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8"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528320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41.6pt" to="521.4pt,41.6pt" o:allowincell="f" strokecolor="#000000" strokeweight="0.4799pt"/>
            </w:pict>
          </mc:Fallback>
        </mc:AlternateContent>
      </w:r>
    </w:p>
    <w:p>
      <w:pPr>
        <w:sectPr>
          <w:pgSz w:w="12240" w:h="15840" w:orient="portrait"/>
          <w:cols w:equalWidth="0" w:num="1">
            <w:col w:w="10300"/>
          </w:cols>
          <w:pgMar w:left="940" w:top="699"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9731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9731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4.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9731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9731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44.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ind w:right="12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jc w:val="both"/>
        <w:ind w:left="220" w:right="1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Ένας κάτοχος μπορεί να χάσει ολόκληρο το ασφάλιστρο αν η τιμή άσκησης για μια κλήση είναι πάνω από την αγοραία αξία του υποκείμενου μέσου ή αν η τιμή άσκησης για μια θέση είναι κάτω από αυτήν.</w:t>
      </w:r>
      <w:r>
        <w:rPr xmlns:w="http://schemas.openxmlformats.org/wordprocessingml/2006/main">
          <w:rFonts w:ascii="Calibri" w:cs="Calibri" w:eastAsia="Calibri" w:hAnsi="Calibri"/>
          <w:sz w:val="22"/>
          <w:szCs w:val="22"/>
          <w:color w:val="auto"/>
        </w:rPr>
        <w:t xml:space="preserve"> Σε κάθε περίπτωση η επιλογή λέγεται ότι λήγει «από τα χρήματα.»</w:t>
      </w:r>
      <w:r>
        <w:rPr xmlns:w="http://schemas.openxmlformats.org/wordprocessingml/2006/main">
          <w:rFonts w:ascii="Calibri" w:cs="Calibri" w:eastAsia="Calibri" w:hAnsi="Calibri"/>
          <w:sz w:val="22"/>
          <w:szCs w:val="22"/>
          <w:color w:val="auto"/>
        </w:rPr>
        <w:t xml:space="preserve"> Ο κάτοχος ο οποίος δεν πωλεί ούτε ασκεί την επιλογή του πριν από τη λήξη της μπορεί να χάσει ολόκληρη την επένδυσή του.</w:t>
      </w:r>
    </w:p>
    <w:p>
      <w:pPr>
        <w:spacing w:after="0" w:line="79" w:lineRule="exact"/>
        <w:rPr>
          <w:rFonts w:ascii="Symbol" w:cs="Symbol" w:eastAsia="Symbol" w:hAnsi="Symbol"/>
          <w:sz w:val="22"/>
          <w:szCs w:val="22"/>
          <w:color w:val="auto"/>
        </w:rPr>
      </w:pPr>
    </w:p>
    <w:p>
      <w:pPr xmlns:w="http://schemas.openxmlformats.org/wordprocessingml/2006/main">
        <w:ind w:left="220" w:right="20" w:hanging="214"/>
        <w:spacing w:after="0" w:line="216"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με τις αξίες των υποκείμενων ή συναφών συμφερόντων.</w:t>
      </w:r>
    </w:p>
    <w:p>
      <w:pPr>
        <w:spacing w:after="0" w:line="80" w:lineRule="exact"/>
        <w:rPr>
          <w:rFonts w:ascii="Symbol" w:cs="Symbol" w:eastAsia="Symbol" w:hAnsi="Symbol"/>
          <w:sz w:val="22"/>
          <w:szCs w:val="22"/>
          <w:color w:val="auto"/>
        </w:rPr>
      </w:pPr>
    </w:p>
    <w:p>
      <w:pPr xmlns:w="http://schemas.openxmlformats.org/wordprocessingml/2006/main">
        <w:ind w:left="220" w:right="66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το υποκείμενο νόμισμα για ένα δικαίωμα προαίρεσης που διακανονίζεται με φυσική παράδοση δεν είναι διαθέσιμο, οι κανόνες του OCC ενδέχεται να απαιτούν εναλλακτική μορφή διακανονισμού, όπως διακανονισμό σε μετρητά.</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26" w:lineRule="exact"/>
        <w:rPr>
          <w:rFonts w:ascii="Symbol" w:cs="Symbol" w:eastAsia="Symbol" w:hAnsi="Symbol"/>
          <w:sz w:val="22"/>
          <w:szCs w:val="22"/>
          <w:color w:val="auto"/>
        </w:rPr>
      </w:pPr>
    </w:p>
    <w:p>
      <w:pPr xmlns:w="http://schemas.openxmlformats.org/wordprocessingml/2006/main">
        <w:ind w:left="220" w:hanging="214"/>
        <w:spacing w:after="0" w:line="21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Η αξία των υποκείμενων νομισμάτων και των νομισμάτων διαπραγμάτευσης μπορεί να επηρεαστεί από σύνθετες διακυμάνσεις</w:t>
      </w:r>
    </w:p>
    <w:p>
      <w:pPr>
        <w:spacing w:after="0" w:line="78" w:lineRule="exact"/>
        <w:rPr>
          <w:sz w:val="20"/>
          <w:szCs w:val="20"/>
          <w:color w:val="auto"/>
        </w:rPr>
      </w:pPr>
    </w:p>
    <w:p>
      <w:pPr xmlns:w="http://schemas.openxmlformats.org/wordprocessingml/2006/main">
        <w:jc w:val="center"/>
        <w:ind w:right="140"/>
        <w:spacing w:after="0" w:line="216"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πολιτικοί και οικονομικοί παράγοντες.</w:t>
      </w:r>
      <w:r>
        <w:rPr xmlns:w="http://schemas.openxmlformats.org/wordprocessingml/2006/main">
          <w:rFonts w:ascii="Calibri" w:cs="Calibri" w:eastAsia="Calibri" w:hAnsi="Calibri"/>
          <w:sz w:val="22"/>
          <w:szCs w:val="22"/>
          <w:b w:val="1"/>
          <w:bCs w:val="1"/>
          <w:color w:val="auto"/>
        </w:rPr>
        <w:t xml:space="preserve"> Επιπλέον, οι πληρωμές σε μετρητά θα διακανονιστούν σε δολάρια ΗΠΑ, και έτσι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r>
        <w:rPr xmlns:w="http://schemas.openxmlformats.org/wordprocessingml/2006/main">
          <w:rFonts w:ascii="Calibri" w:cs="Calibri" w:eastAsia="Calibri" w:hAnsi="Calibri"/>
          <w:sz w:val="22"/>
          <w:szCs w:val="22"/>
          <w:b w:val="1"/>
          <w:bCs w:val="1"/>
          <w:color w:val="auto"/>
        </w:rPr>
        <w:t xml:space="preserve"> 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w:t>
      </w:r>
    </w:p>
    <w:p>
      <w:pPr>
        <w:spacing w:after="0" w:line="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μπορεί να επηρεάσει την αξία μιας συναλλαγής και τη θέση του δικαιώματος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13970</wp:posOffset>
            </wp:positionV>
            <wp:extent cx="6545580" cy="234251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545580" cy="2342515"/>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13970</wp:posOffset>
            </wp:positionV>
            <wp:extent cx="6545580" cy="234251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545580" cy="2342515"/>
                    </a:xfrm>
                    <a:prstGeom prst="rect">
                      <a:avLst/>
                    </a:prstGeom>
                    <a:noFill/>
                  </pic:spPr>
                </pic:pic>
              </a:graphicData>
            </a:graphic>
          </wp:anchor>
        </w:drawing>
      </w:r>
    </w:p>
    <w:p>
      <w:pPr>
        <w:sectPr>
          <w:pgSz w:w="12240" w:h="15840" w:orient="portrait"/>
          <w:cols w:equalWidth="0" w:num="1">
            <w:col w:w="10320"/>
          </w:cols>
          <w:pgMar w:left="940" w:top="706" w:right="980" w:bottom="423" w:gutter="0" w:footer="0" w:header="0"/>
        </w:sectPr>
      </w:pPr>
    </w:p>
    <w:p>
      <w:pPr>
        <w:spacing w:after="0" w:line="167" w:lineRule="exact"/>
        <w:rPr>
          <w:sz w:val="20"/>
          <w:szCs w:val="20"/>
          <w:color w:val="auto"/>
        </w:rPr>
      </w:pPr>
    </w:p>
    <w:tbl>
      <w:tblPr>
        <w:tblLayout w:type="fixed"/>
        <w:tblInd w:w="400" w:type="dxa"/>
        <w:tblCellMar>
          <w:top w:w="0" w:type="dxa"/>
          <w:left w:w="0" w:type="dxa"/>
          <w:bottom w:w="0" w:type="dxa"/>
          <w:right w:w="0" w:type="dxa"/>
        </w:tblCellMar>
      </w:tblPr>
      <w:tr>
        <w:trPr>
          <w:trHeight w:val="195"/>
        </w:trPr>
        <w:tc>
          <w:tcPr>
            <w:tcW w:w="180" w:type="dxa"/>
            <w:vAlign w:val="bottom"/>
          </w:tcPr>
          <w:p>
            <w:pPr>
              <w:spacing w:after="0"/>
              <w:rPr>
                <w:sz w:val="16"/>
                <w:szCs w:val="16"/>
                <w:color w:val="auto"/>
              </w:rPr>
            </w:pPr>
          </w:p>
        </w:tc>
        <w:tc>
          <w:tcPr>
            <w:tcW w:w="4840" w:type="dxa"/>
            <w:vAlign w:val="bottom"/>
            <w:gridSpan w:val="6"/>
          </w:tcPr>
          <w:p>
            <w:pPr xmlns:w="http://schemas.openxmlformats.org/wordprocessingml/2006/main">
              <w:jc w:val="right"/>
              <w:ind w:right="210"/>
              <w:spacing w:after="0"/>
              <w:rPr>
                <w:sz w:val="20"/>
                <w:szCs w:val="20"/>
                <w:color w:val="auto"/>
              </w:rPr>
            </w:pPr>
            <w:r>
              <w:rPr xmlns:w="http://schemas.openxmlformats.org/wordprocessingml/2006/main">
                <w:rFonts w:ascii="Calibri" w:cs="Calibri" w:eastAsia="Calibri" w:hAnsi="Calibri"/>
                <w:sz w:val="16"/>
                <w:szCs w:val="16"/>
                <w:color w:val="595959"/>
              </w:rPr>
              <w:t xml:space="preserve">P/L του Holding a FX Call (Ασφάλιστρο $400*·</w:t>
            </w:r>
            <w:r>
              <w:rPr xmlns:w="http://schemas.openxmlformats.org/wordprocessingml/2006/main">
                <w:rFonts w:ascii="Calibri" w:cs="Calibri" w:eastAsia="Calibri" w:hAnsi="Calibri"/>
                <w:sz w:val="16"/>
                <w:szCs w:val="16"/>
                <w:color w:val="595959"/>
              </w:rPr>
              <w:t xml:space="preserve"> Τιμή άσκησης (1.30)</w:t>
            </w:r>
          </w:p>
        </w:tc>
        <w:tc>
          <w:tcPr>
            <w:tcW w:w="5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0"/>
        </w:trPr>
        <w:tc>
          <w:tcPr>
            <w:tcW w:w="180" w:type="dxa"/>
            <w:vAlign w:val="bottom"/>
          </w:tcPr>
          <w:p>
            <w:pPr>
              <w:spacing w:after="0"/>
              <w:rPr>
                <w:sz w:val="24"/>
                <w:szCs w:val="24"/>
                <w:color w:val="auto"/>
              </w:rPr>
            </w:pPr>
          </w:p>
        </w:tc>
        <w:tc>
          <w:tcPr>
            <w:tcW w:w="102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400 $</w:t>
            </w: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7"/>
        </w:trPr>
        <w:tc>
          <w:tcPr>
            <w:tcW w:w="180" w:type="dxa"/>
            <w:vAlign w:val="bottom"/>
          </w:tcPr>
          <w:p>
            <w:pPr>
              <w:spacing w:after="0"/>
              <w:rPr>
                <w:sz w:val="24"/>
                <w:szCs w:val="24"/>
                <w:color w:val="auto"/>
              </w:rPr>
            </w:pPr>
          </w:p>
        </w:tc>
        <w:tc>
          <w:tcPr>
            <w:tcW w:w="102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200 $</w:t>
            </w: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7"/>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*Α/Μ</w:t>
            </w:r>
          </w:p>
        </w:tc>
        <w:tc>
          <w:tcPr>
            <w:tcW w:w="102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180" w:type="dxa"/>
            <w:vAlign w:val="bottom"/>
            <w:vMerge w:val="continue"/>
          </w:tcPr>
          <w:p>
            <w:pPr>
              <w:spacing w:after="0"/>
              <w:rPr>
                <w:sz w:val="19"/>
                <w:szCs w:val="19"/>
                <w:color w:val="auto"/>
              </w:rPr>
            </w:pPr>
          </w:p>
        </w:tc>
        <w:tc>
          <w:tcPr>
            <w:tcW w:w="1020" w:type="dxa"/>
            <w:vAlign w:val="bottom"/>
            <w:vMerge w:val="restart"/>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-200 $</w:t>
            </w: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4"/>
        </w:trPr>
        <w:tc>
          <w:tcPr>
            <w:tcW w:w="180" w:type="dxa"/>
            <w:vAlign w:val="bottom"/>
          </w:tcPr>
          <w:p>
            <w:pPr>
              <w:spacing w:after="0"/>
              <w:rPr>
                <w:sz w:val="8"/>
                <w:szCs w:val="8"/>
                <w:color w:val="auto"/>
              </w:rPr>
            </w:pPr>
          </w:p>
        </w:tc>
        <w:tc>
          <w:tcPr>
            <w:tcW w:w="1020" w:type="dxa"/>
            <w:vAlign w:val="bottom"/>
            <w:vMerge w:val="continue"/>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17"/>
        </w:trPr>
        <w:tc>
          <w:tcPr>
            <w:tcW w:w="180" w:type="dxa"/>
            <w:vAlign w:val="bottom"/>
          </w:tcPr>
          <w:p>
            <w:pPr>
              <w:spacing w:after="0"/>
              <w:rPr>
                <w:sz w:val="24"/>
                <w:szCs w:val="24"/>
                <w:color w:val="auto"/>
              </w:rPr>
            </w:pPr>
          </w:p>
        </w:tc>
        <w:tc>
          <w:tcPr>
            <w:tcW w:w="102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-400 $</w:t>
            </w: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7"/>
        </w:trPr>
        <w:tc>
          <w:tcPr>
            <w:tcW w:w="180" w:type="dxa"/>
            <w:vAlign w:val="bottom"/>
          </w:tcPr>
          <w:p>
            <w:pPr>
              <w:spacing w:after="0"/>
              <w:rPr>
                <w:sz w:val="24"/>
                <w:szCs w:val="24"/>
                <w:color w:val="auto"/>
              </w:rPr>
            </w:pPr>
          </w:p>
        </w:tc>
        <w:tc>
          <w:tcPr>
            <w:tcW w:w="102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-600 $</w:t>
            </w: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3"/>
        </w:trPr>
        <w:tc>
          <w:tcPr>
            <w:tcW w:w="180" w:type="dxa"/>
            <w:vAlign w:val="bottom"/>
          </w:tcPr>
          <w:p>
            <w:pPr>
              <w:spacing w:after="0"/>
              <w:rPr>
                <w:sz w:val="20"/>
                <w:szCs w:val="20"/>
                <w:color w:val="auto"/>
              </w:rPr>
            </w:pPr>
          </w:p>
        </w:tc>
        <w:tc>
          <w:tcPr>
            <w:tcW w:w="1020" w:type="dxa"/>
            <w:vAlign w:val="bottom"/>
          </w:tcPr>
          <w:p>
            <w:pPr xmlns:w="http://schemas.openxmlformats.org/wordprocessingml/2006/main">
              <w:jc w:val="right"/>
              <w:ind w:right="131"/>
              <w:spacing w:after="0"/>
              <w:rPr>
                <w:sz w:val="20"/>
                <w:szCs w:val="20"/>
                <w:color w:val="auto"/>
              </w:rPr>
            </w:pPr>
            <w:r>
              <w:rPr xmlns:w="http://schemas.openxmlformats.org/wordprocessingml/2006/main">
                <w:rFonts w:ascii="Calibri" w:cs="Calibri" w:eastAsia="Calibri" w:hAnsi="Calibri"/>
                <w:sz w:val="18"/>
                <w:szCs w:val="18"/>
                <w:color w:val="595959"/>
              </w:rPr>
              <w:t xml:space="preserve">1,26</w:t>
            </w:r>
          </w:p>
        </w:tc>
        <w:tc>
          <w:tcPr>
            <w:tcW w:w="76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1,28</w:t>
            </w:r>
          </w:p>
        </w:tc>
        <w:tc>
          <w:tcPr>
            <w:tcW w:w="760" w:type="dxa"/>
            <w:vAlign w:val="bottom"/>
          </w:tcPr>
          <w:p>
            <w:pPr xmlns:w="http://schemas.openxmlformats.org/wordprocessingml/2006/main">
              <w:jc w:val="right"/>
              <w:ind w:right="135"/>
              <w:spacing w:after="0"/>
              <w:rPr>
                <w:sz w:val="20"/>
                <w:szCs w:val="20"/>
                <w:color w:val="auto"/>
              </w:rPr>
            </w:pPr>
            <w:r>
              <w:rPr xmlns:w="http://schemas.openxmlformats.org/wordprocessingml/2006/main">
                <w:rFonts w:ascii="Calibri" w:cs="Calibri" w:eastAsia="Calibri" w:hAnsi="Calibri"/>
                <w:sz w:val="18"/>
                <w:szCs w:val="18"/>
                <w:color w:val="595959"/>
              </w:rPr>
              <w:t xml:space="preserve">1,30</w:t>
            </w:r>
          </w:p>
        </w:tc>
        <w:tc>
          <w:tcPr>
            <w:tcW w:w="78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1,32</w:t>
            </w:r>
          </w:p>
        </w:tc>
        <w:tc>
          <w:tcPr>
            <w:tcW w:w="76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1,34</w:t>
            </w:r>
          </w:p>
        </w:tc>
        <w:tc>
          <w:tcPr>
            <w:tcW w:w="76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1,36</w:t>
            </w:r>
          </w:p>
        </w:tc>
        <w:tc>
          <w:tcPr>
            <w:tcW w:w="56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1,38</w:t>
            </w:r>
          </w:p>
        </w:tc>
        <w:tc>
          <w:tcPr>
            <w:tcW w:w="0" w:type="dxa"/>
            <w:vAlign w:val="bottom"/>
          </w:tcPr>
          <w:p>
            <w:pPr>
              <w:spacing w:after="0"/>
              <w:rPr>
                <w:sz w:val="1"/>
                <w:szCs w:val="1"/>
                <w:color w:val="auto"/>
              </w:rPr>
            </w:pPr>
          </w:p>
        </w:tc>
      </w:tr>
      <w:tr>
        <w:trPr>
          <w:trHeight w:val="258"/>
        </w:trPr>
        <w:tc>
          <w:tcPr>
            <w:tcW w:w="18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300" w:type="dxa"/>
            <w:vAlign w:val="bottom"/>
            <w:gridSpan w:val="3"/>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6"/>
                <w:szCs w:val="16"/>
                <w:color w:val="595959"/>
              </w:rPr>
              <w:t xml:space="preserve">EUR/USD (Υποκείμενο μέσο)</w:t>
            </w:r>
          </w:p>
        </w:tc>
        <w:tc>
          <w:tcPr>
            <w:tcW w:w="7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0" w:type="dxa"/>
            <w:vAlign w:val="bottom"/>
          </w:tcPr>
          <w:p>
            <w:pPr>
              <w:spacing w:after="0"/>
              <w:rPr>
                <w:sz w:val="1"/>
                <w:szCs w:val="1"/>
                <w:color w:val="auto"/>
              </w:rPr>
            </w:pPr>
          </w:p>
        </w:tc>
      </w:tr>
    </w:tbl>
    <w:p>
      <w:pPr>
        <w:spacing w:after="0" w:line="275"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6"/>
          <w:szCs w:val="16"/>
          <w:color w:val="auto"/>
        </w:rPr>
        <w:t xml:space="preserve">*όπως απεικονίζεται, πριμοδότηση και p / l υποθέτει ένα μέγεθος σύμβασης 10.000</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Υποτονική Κίνηση Της Αγοράς (</w:t>
      </w:r>
      <w:r>
        <w:rPr xmlns:w="http://schemas.openxmlformats.org/wordprocessingml/2006/main">
          <w:rFonts w:ascii="Calibri" w:cs="Calibri" w:eastAsia="Calibri" w:hAnsi="Calibri"/>
          <w:sz w:val="14"/>
          <w:szCs w:val="14"/>
          <w:u w:val="single" w:color="auto"/>
          <w:color w:val="FF0000"/>
        </w:rPr>
        <w:t xml:space="preserve">Κόκκινο Σημείο Του Οικοπέδου</w:t>
      </w:r>
      <w:r>
        <w:rPr xmlns:w="http://schemas.openxmlformats.org/wordprocessingml/2006/main">
          <w:rFonts w:ascii="Calibri" w:cs="Calibri" w:eastAsia="Calibri" w:hAnsi="Calibri"/>
          <w:sz w:val="14"/>
          <w:szCs w:val="14"/>
          <w:u w:val="single" w:color="auto"/>
          <w:color w:val="auto"/>
        </w:rPr>
        <w:t xml:space="preserve">)</w:t>
      </w:r>
    </w:p>
    <w:p>
      <w:pPr>
        <w:spacing w:after="0" w:line="12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Τιμή αγοράς:</w:t>
      </w:r>
      <w:r>
        <w:rPr xmlns:w="http://schemas.openxmlformats.org/wordprocessingml/2006/main">
          <w:rFonts w:ascii="Calibri" w:cs="Calibri" w:eastAsia="Calibri" w:hAnsi="Calibri"/>
          <w:sz w:val="14"/>
          <w:szCs w:val="14"/>
          <w:color w:val="auto"/>
        </w:rPr>
        <w:t xml:space="preserve"> 1,36 δολάρια για το ευρώ</w:t>
      </w:r>
    </w:p>
    <w:p>
      <w:pPr>
        <w:spacing w:after="0" w:line="89" w:lineRule="exact"/>
        <w:rPr>
          <w:sz w:val="20"/>
          <w:szCs w:val="20"/>
          <w:color w:val="auto"/>
        </w:rPr>
      </w:pPr>
    </w:p>
    <w:p>
      <w:pPr xmlns:w="http://schemas.openxmlformats.org/wordprocessingml/2006/main">
        <w:ind w:left="280" w:right="220" w:hanging="140"/>
        <w:spacing w:after="0" w:line="222" w:lineRule="auto"/>
        <w:tabs>
          <w:tab w:leader="none" w:pos="28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Μη ευνοϊκό για τον συγγραφέα:</w:t>
      </w:r>
      <w:r>
        <w:rPr xmlns:w="http://schemas.openxmlformats.org/wordprocessingml/2006/main">
          <w:rFonts w:ascii="Calibri" w:cs="Calibri" w:eastAsia="Calibri" w:hAnsi="Calibri"/>
          <w:sz w:val="14"/>
          <w:szCs w:val="14"/>
          <w:color w:val="auto"/>
        </w:rPr>
        <w:t xml:space="preserve"> -200 δολάρια, που αντιπροσωπεύουν την υποχρέωση να παραδώσει 10.000 ευρώ για 1,30 δολάρια ΗΠΑ το καθένα (όταν η επικρατούσα τιμή της αγοράς είναι 1,36 δολάρια ΗΠΑ το καθένα) συν $400 ασφάλιστρο έλαβε</w:t>
      </w:r>
    </w:p>
    <w:p>
      <w:pPr>
        <w:spacing w:after="0" w:line="145" w:lineRule="exact"/>
        <w:rPr>
          <w:rFonts w:ascii="Symbol" w:cs="Symbol" w:eastAsia="Symbol" w:hAnsi="Symbol"/>
          <w:sz w:val="14"/>
          <w:szCs w:val="14"/>
          <w:color w:val="auto"/>
        </w:rPr>
      </w:pPr>
    </w:p>
    <w:p>
      <w:pPr xmlns:w="http://schemas.openxmlformats.org/wordprocessingml/2006/main">
        <w:ind w:left="280" w:right="160" w:hanging="140"/>
        <w:spacing w:after="0" w:line="223" w:lineRule="auto"/>
        <w:tabs>
          <w:tab w:leader="none" w:pos="28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Ευνοϊκή για τον κάτοχο:</w:t>
      </w:r>
      <w:r>
        <w:rPr xmlns:w="http://schemas.openxmlformats.org/wordprocessingml/2006/main">
          <w:rFonts w:ascii="Calibri" w:cs="Calibri" w:eastAsia="Calibri" w:hAnsi="Calibri"/>
          <w:sz w:val="14"/>
          <w:szCs w:val="14"/>
          <w:color w:val="auto"/>
        </w:rPr>
        <w:t xml:space="preserve"> +$200, που αντιπροσωπεύουν το δικαίωμα να λάβετε 10.000 ευρώ για 1,30 δολάρια ΗΠΑ το καθένα (όταν η επικρατούσα τιμή αγοράς είναι 1,36 δολάρια ΗΠΑ το καθένα) λιγότερο $400 πριμοδότηση πληρωμής</w:t>
      </w:r>
    </w:p>
    <w:p>
      <w:pPr>
        <w:spacing w:after="0" w:line="9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4"/>
          <w:szCs w:val="14"/>
          <w:u w:val="single" w:color="auto"/>
          <w:color w:val="00B050"/>
        </w:rPr>
        <w:t xml:space="preserve">Σημείο Πράσινου Οικοπέδου</w:t>
      </w:r>
      <w:r>
        <w:rPr xmlns:w="http://schemas.openxmlformats.org/wordprocessingml/2006/main">
          <w:rFonts w:ascii="Calibri" w:cs="Calibri" w:eastAsia="Calibri" w:hAnsi="Calibri"/>
          <w:sz w:val="14"/>
          <w:szCs w:val="14"/>
          <w:u w:val="single" w:color="auto"/>
          <w:color w:val="auto"/>
        </w:rPr>
        <w:t xml:space="preserve">)</w:t>
      </w:r>
    </w:p>
    <w:p>
      <w:pPr>
        <w:spacing w:after="0" w:line="12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Τιμή αγοράς:</w:t>
      </w:r>
      <w:r>
        <w:rPr xmlns:w="http://schemas.openxmlformats.org/wordprocessingml/2006/main">
          <w:rFonts w:ascii="Calibri" w:cs="Calibri" w:eastAsia="Calibri" w:hAnsi="Calibri"/>
          <w:sz w:val="14"/>
          <w:szCs w:val="14"/>
          <w:color w:val="auto"/>
        </w:rPr>
        <w:t xml:space="preserve"> 1,29 δολάρια για το ευρώ</w:t>
      </w:r>
    </w:p>
    <w:p>
      <w:pPr>
        <w:spacing w:after="0" w:line="38" w:lineRule="exact"/>
        <w:rPr>
          <w:sz w:val="20"/>
          <w:szCs w:val="20"/>
          <w:color w:val="auto"/>
        </w:rPr>
      </w:pPr>
    </w:p>
    <w:p>
      <w:pPr xmlns:w="http://schemas.openxmlformats.org/wordprocessingml/2006/main">
        <w:ind w:left="280" w:hanging="140"/>
        <w:spacing w:after="0"/>
        <w:tabs>
          <w:tab w:leader="none" w:pos="28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Ευνοϊκό για το συγγραφέα:</w:t>
      </w:r>
      <w:r>
        <w:rPr xmlns:w="http://schemas.openxmlformats.org/wordprocessingml/2006/main">
          <w:rFonts w:ascii="Calibri" w:cs="Calibri" w:eastAsia="Calibri" w:hAnsi="Calibri"/>
          <w:sz w:val="14"/>
          <w:szCs w:val="14"/>
          <w:color w:val="auto"/>
        </w:rPr>
        <w:t xml:space="preserve"> + $ 400 απόδειξη της πριμοδότησης</w:t>
      </w:r>
    </w:p>
    <w:p>
      <w:pPr>
        <w:spacing w:after="0" w:line="39" w:lineRule="exact"/>
        <w:rPr>
          <w:rFonts w:ascii="Symbol" w:cs="Symbol" w:eastAsia="Symbol" w:hAnsi="Symbol"/>
          <w:sz w:val="14"/>
          <w:szCs w:val="14"/>
          <w:color w:val="auto"/>
        </w:rPr>
      </w:pPr>
    </w:p>
    <w:p>
      <w:pPr xmlns:w="http://schemas.openxmlformats.org/wordprocessingml/2006/main">
        <w:ind w:left="280" w:hanging="140"/>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4"/>
          <w:szCs w:val="14"/>
          <w:color w:val="auto"/>
        </w:rPr>
        <w:t xml:space="preserve">Δυσμενής για τον κάτοχο:</w:t>
      </w:r>
      <w:r>
        <w:rPr xmlns:w="http://schemas.openxmlformats.org/wordprocessingml/2006/main">
          <w:rFonts w:ascii="Calibri" w:cs="Calibri" w:eastAsia="Calibri" w:hAnsi="Calibri"/>
          <w:sz w:val="14"/>
          <w:szCs w:val="14"/>
          <w:color w:val="auto"/>
        </w:rPr>
        <w:t xml:space="preserve"> -Πληρωμή πριμοδότησης 400 $</w:t>
      </w:r>
    </w:p>
    <w:p>
      <w:pPr>
        <w:spacing w:after="0" w:line="163" w:lineRule="exact"/>
        <w:rPr>
          <w:sz w:val="20"/>
          <w:szCs w:val="20"/>
          <w:color w:val="auto"/>
        </w:rPr>
      </w:pPr>
    </w:p>
    <w:p>
      <w:pPr xmlns:w="http://schemas.openxmlformats.org/wordprocessingml/2006/main">
        <w:ind w:right="140"/>
        <w:spacing w:after="0" w:line="221" w:lineRule="auto"/>
        <w:rPr>
          <w:sz w:val="20"/>
          <w:szCs w:val="20"/>
          <w:color w:val="auto"/>
        </w:rPr>
      </w:pPr>
      <w:r>
        <w:rPr xmlns:w="http://schemas.openxmlformats.org/wordprocessingml/2006/main">
          <w:rFonts w:ascii="Calibri" w:cs="Calibri" w:eastAsia="Calibri" w:hAnsi="Calibri"/>
          <w:sz w:val="14"/>
          <w:szCs w:val="14"/>
          <w:u w:val="single" w:color="auto"/>
          <w:color w:val="auto"/>
        </w:rPr>
        <w:t xml:space="preserve">Το σημείο μεταβολής εννοιολογικού περιεχομένου προκύπτει όταν η επικρατούσα αγοραία τιμή του υποκείμενου μέσου είναι υψηλότερη από την τιμή άσκησης, έτσι ώστε το P/L να είναι μηδενικό τόσο για τον εγγραφέα όσο και για τον κάτοχο.</w:t>
      </w:r>
    </w:p>
    <w:p>
      <w:pPr>
        <w:spacing w:after="0" w:line="106" w:lineRule="exact"/>
        <w:rPr>
          <w:sz w:val="20"/>
          <w:szCs w:val="20"/>
          <w:color w:val="auto"/>
        </w:rPr>
      </w:pPr>
    </w:p>
    <w:p>
      <w:pPr>
        <w:sectPr>
          <w:pgSz w:w="12240" w:h="15840" w:orient="portrait"/>
          <w:cols w:equalWidth="0" w:num="2">
            <w:col w:w="5960" w:space="460"/>
            <w:col w:w="3900"/>
          </w:cols>
          <w:pgMar w:left="940" w:top="706" w:right="980" w:bottom="423" w:gutter="0" w:footer="0" w:header="0"/>
          <w:type w:val="continuous"/>
        </w:sect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αυξηθεί.</w:t>
      </w:r>
      <w:r>
        <w:rPr xmlns:w="http://schemas.openxmlformats.org/wordprocessingml/2006/main">
          <w:rFonts w:ascii="Calibri" w:cs="Calibri" w:eastAsia="Calibri" w:hAnsi="Calibri"/>
          <w:sz w:val="22"/>
          <w:szCs w:val="22"/>
          <w:color w:val="auto"/>
        </w:rPr>
        <w:t xml:space="preserve"> Αυτό που θα λάβετε ποικίλλει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το σύνολο του κόστους του ίδιου του προϊόντος, αλλά μπορεί να μην περιλαμβάνουν όλα</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68972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1.4pt,1.6pt" o:allowincell="f" strokecolor="#000000" strokeweight="0.4799pt"/>
            </w:pict>
          </mc:Fallback>
        </mc:AlternateContent>
      </w:r>
    </w:p>
    <w:p>
      <w:pPr>
        <w:sectPr>
          <w:pgSz w:w="12240" w:h="15840" w:orient="portrait"/>
          <w:cols w:equalWidth="0" w:num="1">
            <w:col w:w="10320"/>
          </w:cols>
          <w:pgMar w:left="940" w:top="706" w:right="980" w:bottom="423" w:gutter="0" w:footer="0" w:header="0"/>
          <w:type w:val="continuous"/>
        </w:sectPr>
      </w:pPr>
    </w:p>
    <w:bookmarkStart w:id="2" w:name="page3"/>
    <w:bookmarkEnd w:id="2"/>
    <w:p>
      <w:pPr xmlns:w="http://schemas.openxmlformats.org/wordprocessingml/2006/main">
        <w:ind w:left="220" w:right="50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69036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68.4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6618605</wp:posOffset>
                </wp:positionV>
                <wp:extent cx="669036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21.15pt" to="568.4pt,52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8159115</wp:posOffset>
                </wp:positionV>
                <wp:extent cx="669036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42.45pt" to="568.4pt,642.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8525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8525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4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τα έξοδα που πληρώνετε στο σύμβουλό σας ή στο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77" w:lineRule="exact"/>
        <w:rPr>
          <w:sz w:val="20"/>
          <w:szCs w:val="20"/>
          <w:color w:val="auto"/>
        </w:rPr>
      </w:pPr>
    </w:p>
    <w:p>
      <w:pPr xmlns:w="http://schemas.openxmlformats.org/wordprocessingml/2006/main">
        <w:ind w:left="220" w:right="16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η OCC να μην έχει επαρκείς οικονομικούς πόρους για να διευθετήσει τις υποχρεώσεις και μπορεί να υποστεί ζημία μέχρι οποιοδήποτε ποσό που οφείλεται </w:t>
      </w:r>
      <w:r>
        <w:rPr xmlns:w="http://schemas.openxmlformats.org/wordprocessingml/2006/main">
          <w:rFonts w:ascii="Calibri" w:cs="Calibri" w:eastAsia="Calibri" w:hAnsi="Calibri"/>
          <w:sz w:val="22"/>
          <w:szCs w:val="22"/>
          <w:u w:val="single" w:color="auto"/>
          <w:color w:val="auto"/>
        </w:rPr>
        <w:t xml:space="preserve">σε</w:t>
      </w:r>
      <w:r>
        <w:rPr xmlns:w="http://schemas.openxmlformats.org/wordprocessingml/2006/main">
          <w:rFonts w:ascii="Calibri" w:cs="Calibri" w:eastAsia="Calibri" w:hAnsi="Calibri"/>
          <w:sz w:val="22"/>
          <w:szCs w:val="22"/>
          <w:color w:val="auto"/>
        </w:rPr>
        <w:t xml:space="preserve"> εσάς.</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2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άτομο θα σας δώσει πληροφορίες σχετικά με</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2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αυτές οι δαπάνες και πώς επηρεάζουν την επένδυσή σας.</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συνολικό κόστος για τυποποιημένες επιλογές FX εξαρτάται</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σε πολλαπλούς παράγοντες.</w:t>
            </w:r>
            <w:r>
              <w:rPr xmlns:w="http://schemas.openxmlformats.org/wordprocessingml/2006/main">
                <w:rFonts w:ascii="Calibri" w:cs="Calibri" w:eastAsia="Calibri" w:hAnsi="Calibri"/>
                <w:sz w:val="22"/>
                <w:szCs w:val="22"/>
                <w:color w:val="auto"/>
              </w:rPr>
              <w:t xml:space="preserve"> Ένα premium επιλογές είναι το κόστος</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που καταβάλλονται από τον κάτοχο στο συγγραφέα.</w:t>
            </w:r>
            <w:r>
              <w:rPr xmlns:w="http://schemas.openxmlformats.org/wordprocessingml/2006/main">
                <w:rFonts w:ascii="Calibri" w:cs="Calibri" w:eastAsia="Calibri" w:hAnsi="Calibri"/>
                <w:sz w:val="22"/>
                <w:szCs w:val="22"/>
                <w:color w:val="auto"/>
              </w:rPr>
              <w:t xml:space="preserve"> Παράγοντες που έχουν</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8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2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σημαντική επίπτωση στην πριμοδότηση περιλαμβάνουν, αλλά δεν</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8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περιορίζεται σε, τις σχετικές τιμές του υποκείμενου μέσου και</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2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8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νομίσματα διαπραγμάτευσης, χρόνος μέχρι τη λήξη του δικαιώματος προαίρεσης,</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2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και την τιμή άσκησης.</w:t>
            </w:r>
            <w:r>
              <w:rPr xmlns:w="http://schemas.openxmlformats.org/wordprocessingml/2006/main">
                <w:rFonts w:ascii="Calibri" w:cs="Calibri" w:eastAsia="Calibri" w:hAnsi="Calibri"/>
                <w:sz w:val="22"/>
                <w:szCs w:val="22"/>
                <w:color w:val="auto"/>
              </w:rPr>
              <w:t xml:space="preserve"> Οι επιλογές που επενδύουν περιλαμβάνουν</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2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πρόσθετες δαπάνες που περιλαμβάνουν φορολογικά θέματα,</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8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που μπορούν να επηρεάσουν</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2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επηρεάζουν σημαντικά τα αποτελέσματα.</w:t>
            </w:r>
            <w:r>
              <w:rPr xmlns:w="http://schemas.openxmlformats.org/wordprocessingml/2006/main">
                <w:rFonts w:ascii="Calibri" w:cs="Calibri" w:eastAsia="Calibri" w:hAnsi="Calibri"/>
                <w:sz w:val="22"/>
                <w:szCs w:val="22"/>
                <w:color w:val="auto"/>
              </w:rPr>
              <w:t xml:space="preserve"> Κόστος συναλλαγής</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συνίστανται κυρίως σε προμήθειες (οι οποίες επιβάλλονται</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κατά το άνοιγμα, το κλείσιμο, την άσκηση και την ανάθεση</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2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συναλλαγές), αλλά μπορεί επίσης να περιλαμβάνει περιθώριο και</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έξοδα τόκων.</w:t>
            </w:r>
            <w:r>
              <w:rPr xmlns:w="http://schemas.openxmlformats.org/wordprocessingml/2006/main">
                <w:rFonts w:ascii="Calibri" w:cs="Calibri" w:eastAsia="Calibri" w:hAnsi="Calibri"/>
                <w:sz w:val="22"/>
                <w:szCs w:val="22"/>
                <w:color w:val="auto"/>
              </w:rPr>
              <w:t xml:space="preserve"> Περιθώριο σημαίνει τα στοιχεία ενεργητικού που πρέπει να</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8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κατατίθεται από ένα συγγραφέα στην μεσιτική του εταιρεία ως</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8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2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8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εξασφαλίσεις για την υποχρέωση, κατά περίπτωση, αγοράς ή</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2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πωλούν τον υποκείμενο τόκο ή καταβάλλουν τον διακανονισμό τοις μετρητοίς</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2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8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2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ποσό.</w:t>
            </w:r>
            <w:r>
              <w:rPr xmlns:w="http://schemas.openxmlformats.org/wordprocessingml/2006/main">
                <w:rFonts w:ascii="Calibri" w:cs="Calibri" w:eastAsia="Calibri" w:hAnsi="Calibri"/>
                <w:sz w:val="22"/>
                <w:szCs w:val="22"/>
                <w:color w:val="auto"/>
              </w:rPr>
              <w:t xml:space="preserve"> Αν ένα δικαίωμα προαίρεσης ασκηθεί και</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2" w:lineRule="exact"/>
        <w:rPr>
          <w:sz w:val="20"/>
          <w:szCs w:val="20"/>
          <w:color w:val="auto"/>
        </w:rPr>
      </w:pPr>
    </w:p>
    <w:p>
      <w:pPr xmlns:w="http://schemas.openxmlformats.org/wordprocessingml/2006/main">
        <w:jc w:val="both"/>
        <w:ind w:left="220"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η συσκευή εγγραφής ενδέχεται να επιβαρυνθεί με πρόσθετα έξοδα.</w:t>
      </w:r>
      <w:r>
        <w:rPr xmlns:w="http://schemas.openxmlformats.org/wordprocessingml/2006/main">
          <w:rFonts w:ascii="Calibri" w:cs="Calibri" w:eastAsia="Calibri" w:hAnsi="Calibri"/>
          <w:sz w:val="22"/>
          <w:szCs w:val="22"/>
          <w:color w:val="auto"/>
        </w:rPr>
        <w:t xml:space="preserve"> 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20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έναν κάτοχο, όπως είναι και η απόφαση τόσο για τους κατόχους όσο και για τους εγγραφείς δικαιώματος προαίρεσης να κλείσουν μια υπάρχουσα θέση προαίρεσης πριν από τη λήξη του δικαιώματος προαίρεσης ή ασκηθεί και εκχωρηθεί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ασκούν τη σύμβαση ή τις συμβάσεις δικαιωμάτων προαίρεσης και να καθορίζουν αν θα κλείσει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sz w:val="20"/>
          <w:szCs w:val="20"/>
          <w:color w:val="auto"/>
        </w:rPr>
      </w:pPr>
    </w:p>
    <w:p>
      <w:pPr xmlns:w="http://schemas.openxmlformats.org/wordprocessingml/2006/main">
        <w:ind w:left="220" w:right="4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6" w:lineRule="exact"/>
        <w:rPr>
          <w:sz w:val="20"/>
          <w:szCs w:val="20"/>
          <w:color w:val="auto"/>
        </w:rPr>
      </w:pPr>
    </w:p>
    <w:tbl>
      <w:tblPr>
        <w:tblLayout w:type="fixed"/>
        <w:tblInd w:w="340" w:type="dxa"/>
        <w:tblCellMar>
          <w:top w:w="0" w:type="dxa"/>
          <w:left w:w="0" w:type="dxa"/>
          <w:bottom w:w="0" w:type="dxa"/>
          <w:right w:w="0" w:type="dxa"/>
        </w:tblCellMar>
      </w:tblPr>
      <w:tr>
        <w:trPr>
          <w:trHeight w:val="285"/>
        </w:trPr>
        <w:tc>
          <w:tcPr>
            <w:tcW w:w="46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Κέντρο Καταγγελιών Επενδυτών</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Επιτροπή Κεφαλαιαγοράς ΗΠΑ</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9509 Κι Γουέστ Άβενιου</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Γραφείο Εκπαίδευσης και Υπεράσπισης Επενδυτών</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Rockville, MD 20850-3329</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100 F Street, N.E.</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Τηλέφωνο:</w:t>
            </w:r>
            <w:r>
              <w:rPr xmlns:w="http://schemas.openxmlformats.org/wordprocessingml/2006/main">
                <w:rFonts w:ascii="Calibri" w:cs="Calibri" w:eastAsia="Calibri" w:hAnsi="Calibri"/>
                <w:sz w:val="22"/>
                <w:szCs w:val="22"/>
                <w:color w:val="auto"/>
              </w:rPr>
              <w:t xml:space="preserve"> (240) 386-ΒΟΗΘΕΙΑ (4357) Φαξ:</w:t>
            </w:r>
            <w:r>
              <w:rPr xmlns:w="http://schemas.openxmlformats.org/wordprocessingml/2006/main">
                <w:rFonts w:ascii="Calibri" w:cs="Calibri" w:eastAsia="Calibri" w:hAnsi="Calibri"/>
                <w:sz w:val="22"/>
                <w:szCs w:val="22"/>
                <w:color w:val="auto"/>
              </w:rPr>
              <w:t xml:space="preserve"> (86) 397-3290</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w w:val="99"/>
              </w:rPr>
              <w:t xml:space="preserve">Ουάσινγκτον, DC 20549-0213 Φαξ:</w:t>
            </w:r>
            <w:r>
              <w:rPr xmlns:w="http://schemas.openxmlformats.org/wordprocessingml/2006/main">
                <w:rFonts w:ascii="Calibri" w:cs="Calibri" w:eastAsia="Calibri" w:hAnsi="Calibri"/>
                <w:sz w:val="22"/>
                <w:szCs w:val="22"/>
                <w:color w:val="auto"/>
                <w:w w:val="99"/>
              </w:rPr>
              <w:t xml:space="preserve"> (202) 772-9295</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16510</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3pt" to="532.4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640"/>
      </w:cols>
      <w:pgMar w:left="720" w:top="774" w:right="880" w:bottom="158"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144E3D5B"/>
    <w:multiLevelType w:val="hybridMultilevel"/>
    <w:lvl w:ilvl="0">
      <w:lvlJc w:val="left"/>
      <w:lvlText w:val="·"/>
      <w:numFmt w:val="bullet"/>
      <w:start w:val="1"/>
    </w:lvl>
  </w:abstractNum>
  <w:abstractNum w:abstractNumId="1">
    <w:nsid w:val="12066FCF"/>
    <w:multiLevelType w:val="hybridMultilevel"/>
    <w:lvl w:ilvl="0">
      <w:lvlJc w:val="left"/>
      <w:lvlText w:val="·"/>
      <w:numFmt w:val="bullet"/>
      <w:start w:val="1"/>
    </w:lvl>
  </w:abstractNum>
  <w:abstractNum w:abstractNumId="2">
    <w:nsid w:val="2D2F26D0"/>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2024-05-20T14:36:48Z</dcterms:created>
  <dcterms:modified xsi:type="dcterms:W3CDTF">2024-05-20T14:36:48Z</dcterms:modified>
</cp:coreProperties>
</file>