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Core S&amp;P 500 ΟΣΕΚΑ ETF</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5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VII plc</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IE00B5BMR087</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60" w:type="dxa"/>
            <w:vAlign w:val="bottom"/>
            <w:vMerge w:val="continue"/>
          </w:tcPr>
          <w:p>
            <w:pPr>
              <w:spacing w:after="0"/>
              <w:rPr>
                <w:sz w:val="9"/>
                <w:szCs w:val="9"/>
                <w:color w:val="auto"/>
              </w:rPr>
            </w:pPr>
          </w:p>
        </w:tc>
        <w:tc>
          <w:tcPr>
            <w:tcW w:w="28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S&amp;P 500,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είναι παθητικά διαχειριζόμενη και στοχεύει να επενδύσει όσο το δυνατόν περισσότερο και εφικτό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500 μεγαλύτερων εταιρειών (δηλαδή εταιρειών με μεγάλη χρηματιστηριακή αξία) στην αγορά των Ηνωμένων Πολιτειών, σύμφωνα με το μέγεθος, τη ρευστότητα και τα κριτήρια ελεύθερης διασποράς.</w:t>
      </w:r>
      <w:r>
        <w:rPr xmlns:w="http://schemas.openxmlformats.org/wordprocessingml/2006/main">
          <w:rFonts w:ascii="Arial" w:cs="Arial" w:eastAsia="Arial" w:hAnsi="Arial"/>
          <w:sz w:val="16"/>
          <w:szCs w:val="16"/>
          <w:color w:val="auto"/>
        </w:rPr>
        <w:t xml:space="preserve"> Οι εταιρείες περιλαμβάνονται στον Δείκτη με βάση τη σταθμισμένη βάση της ελεύθερης χρηματιστηριακής αξίας.</w:t>
      </w:r>
      <w:r>
        <w:rPr xmlns:w="http://schemas.openxmlformats.org/wordprocessingml/2006/main">
          <w:rFonts w:ascii="Arial" w:cs="Arial" w:eastAsia="Arial" w:hAnsi="Arial"/>
          <w:sz w:val="16"/>
          <w:szCs w:val="16"/>
          <w:color w:val="auto"/>
        </w:rPr>
        <w:t xml:space="preserve"> Η ελεύθερη διασπορά σημαίνει ότι για τον υπολογισμό του δείκτη χρησιμοποιούνται μόνο μετοχές που είναι διαθέσιμες σε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προσαρμοσμένη αγοραία αξία, μετά από προσαρμογή της ελεύθερης διασποράς,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Τίτλοι που έχουν ρευστότητα σημαίνει ότι μπορούν εύκολα να αγοραστούν ή να πωληθούν στην αγορά υπό κανονικές συνθήκες αγοράς.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που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των επενδυτικών στόχων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4"/>
          <w:szCs w:val="14"/>
          <w:color w:val="auto"/>
        </w:rPr>
        <w:t xml:space="preserve"> Άλλοι σημαντικοί παράγοντες είναι οι πολιτικοί και οικονομικοί</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νέα, κέρδη της εταιρείας και σημαντικά εταιρικά γεγονότα.</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1397"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0,07%**</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2010.</w:t>
      </w:r>
      <w:r>
        <w:rPr xmlns:w="http://schemas.openxmlformats.org/wordprocessingml/2006/main">
          <w:rFonts w:ascii="Arial" w:cs="Arial" w:eastAsia="Arial" w:hAnsi="Arial"/>
          <w:sz w:val="15"/>
          <w:szCs w:val="15"/>
          <w:color w:val="auto"/>
        </w:rPr>
        <w:t xml:space="preserve"> Η Share Class ξεκίνησε το 2010.</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Σημείο αναφοράς: S&amp;P 500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28,4</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-18,3</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28,2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-18,5</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2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μετοχές VII plc μπορούν να θεωρηθούν υπεύθυνες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αλλαγή μετοχών μεταξύ του Ταμείου και άλλων υποκεφαλαίων στο πλαίσιο της iShares VII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την 01η Φεβρουαρίου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769C065"/>
    <w:multiLevelType w:val="hybridMultilevel"/>
    <w:lvl w:ilvl="0">
      <w:lvlJc w:val="left"/>
      <w:lvlText w:val="-"/>
      <w:numFmt w:val="bullet"/>
      <w:start w:val="1"/>
    </w:lvl>
  </w:abstractNum>
  <w:abstractNum w:abstractNumId="1">
    <w:nsid w:val="2A77692"/>
    <w:multiLevelType w:val="hybridMultilevel"/>
    <w:lvl w:ilvl="0">
      <w:lvlJc w:val="left"/>
      <w:lvlText w:val="-"/>
      <w:numFmt w:val="bullet"/>
      <w:start w:val="1"/>
    </w:lvl>
  </w:abstractNum>
  <w:abstractNum w:abstractNumId="2">
    <w:nsid w:val="7C85E24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2024-05-20T14:49:01Z</dcterms:created>
  <dcterms:modified xsi:type="dcterms:W3CDTF">2024-05-20T14:49:01Z</dcterms:modified>
</cp:coreProperties>
</file>