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626110</wp:posOffset>
                </wp:positionH>
                <wp:positionV relativeFrom="page">
                  <wp:posOffset>463550</wp:posOffset>
                </wp:positionV>
                <wp:extent cx="6777355" cy="496570"/>
                <wp:wrapNone/>
                <wp:docPr id="1" name="Shape 1"/>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77355" cy="496570"/>
                        </a:xfrm>
                        <a:prstGeom prst="rect">
                          <a:avLst/>
                        </a:prstGeom>
                        <a:solidFill>
                          <a:srgbClr val="1F4E79"/>
                        </a:solidFill>
                      </wps:spPr>
                      <wps:bodyPr/>
                    </wps:wsp>
                  </a:graphicData>
                </a:graphic>
              </wp:anchor>
            </w:drawing>
          </mc:Choice>
          <mc:Fallback>
            <w:pict>
              <v:rect xmlns:v="urn:schemas-microsoft-com:vml" id="Shape 1" o:spid="_x0000_s1026" style="position:absolute;margin-left:49.3pt;margin-top:36.5pt;width:533.65pt;height:3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1F4E79" stroked="f">
                <w10:wrap xmlns:w10="urn:schemas-microsoft-com:office:word" anchorx="page" anchory="page"/>
              </v:rect>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673735</wp:posOffset>
                </wp:positionH>
                <wp:positionV relativeFrom="page">
                  <wp:posOffset>463550</wp:posOffset>
                </wp:positionV>
                <wp:extent cx="6682740" cy="49657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82740" cy="496570"/>
                        </a:xfrm>
                        <a:prstGeom prst="rect">
                          <a:avLst/>
                        </a:prstGeom>
                        <a:solidFill>
                          <a:srgbClr val="000000"/>
                        </a:solidFill>
                      </wps:spPr>
                      <wps:bodyPr/>
                    </wps:wsp>
                  </a:graphicData>
                </a:graphic>
              </wp:anchor>
            </w:drawing>
          </mc:Choice>
          <mc:Fallback>
            <w:pict>
              <v:rect xmlns:v="urn:schemas-microsoft-com:vml" id="Shape 2" o:spid="_x0000_s1027" style="position:absolute;margin-left:53.05pt;margin-top:36.5pt;width:526.2pt;height:3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000000" stroked="f">
                <w10:wrap xmlns:w10="urn:schemas-microsoft-com:office:word" anchorx="page" anchory="page"/>
              </v:rect>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619760</wp:posOffset>
                </wp:positionH>
                <wp:positionV relativeFrom="page">
                  <wp:posOffset>459740</wp:posOffset>
                </wp:positionV>
                <wp:extent cx="6789420" cy="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894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 o:spid="_x0000_s102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8.8pt,36.2pt" to="583.4pt,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619760</wp:posOffset>
                </wp:positionH>
                <wp:positionV relativeFrom="page">
                  <wp:posOffset>962660</wp:posOffset>
                </wp:positionV>
                <wp:extent cx="6789420" cy="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8942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4" o:spid="_x0000_s102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8.8pt,75.8pt" to="583.4pt,75.8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619760</wp:posOffset>
                </wp:positionH>
                <wp:positionV relativeFrom="page">
                  <wp:posOffset>1837690</wp:posOffset>
                </wp:positionV>
                <wp:extent cx="6789420" cy="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8942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5" o:spid="_x0000_s103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8.8pt,144.7pt" to="583.4pt,144.7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619760</wp:posOffset>
                </wp:positionH>
                <wp:positionV relativeFrom="page">
                  <wp:posOffset>3052445</wp:posOffset>
                </wp:positionV>
                <wp:extent cx="6789420" cy="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894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6" o:spid="_x0000_s103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8.8pt,240.35pt" to="583.4pt,240.3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619760</wp:posOffset>
                </wp:positionH>
                <wp:positionV relativeFrom="page">
                  <wp:posOffset>3911600</wp:posOffset>
                </wp:positionV>
                <wp:extent cx="6789420" cy="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8942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7" o:spid="_x0000_s103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8.8pt,308pt" to="583.4pt,308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622935</wp:posOffset>
                </wp:positionH>
                <wp:positionV relativeFrom="page">
                  <wp:posOffset>457200</wp:posOffset>
                </wp:positionV>
                <wp:extent cx="0" cy="874776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74776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8" o:spid="_x0000_s103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9.05pt,36pt" to="49.05pt,724.8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7406640</wp:posOffset>
                </wp:positionH>
                <wp:positionV relativeFrom="page">
                  <wp:posOffset>457200</wp:posOffset>
                </wp:positionV>
                <wp:extent cx="0" cy="8747760"/>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74776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9" o:spid="_x0000_s103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83.2pt,36pt" to="583.2pt,724.8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w:t xml:space="preserve">Πληροφορίες κλειδιού</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w:t xml:space="preserve">Έγγραφο - Μακροπρόθεσμο συμβόλαιο μελλοντικής εκπλήρωσης επί εμπορευμάτων</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-59055</wp:posOffset>
                </wp:positionH>
                <wp:positionV relativeFrom="paragraph">
                  <wp:posOffset>25400</wp:posOffset>
                </wp:positionV>
                <wp:extent cx="6776720" cy="86868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776720" cy="868680"/>
                        </a:xfrm>
                        <a:prstGeom prst="rect">
                          <a:avLst/>
                        </a:prstGeom>
                        <a:solidFill>
                          <a:srgbClr val="9CC2E5"/>
                        </a:solidFill>
                      </wps:spPr>
                      <wps:bodyPr/>
                    </wps:wsp>
                  </a:graphicData>
                </a:graphic>
              </wp:anchor>
            </w:drawing>
          </mc:Choice>
          <mc:Fallback>
            <w:pict>
              <v:rect id="Shape 10" o:spid="_x0000_s1035" style="position:absolute;margin-left:-4.6499pt;margin-top:2pt;width:533.6pt;height:68.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9CC2E5" stroked="f"/>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Αντικείμενο</w:t>
      </w:r>
    </w:p>
    <w:p>
      <w:pPr>
        <w:spacing w:after="0" w:line="68" w:lineRule="exact"/>
        <w:rPr>
          <w:sz w:val="24"/>
          <w:szCs w:val="24"/>
          <w:color w:val="auto"/>
        </w:rPr>
      </w:pPr>
    </w:p>
    <w:p>
      <w:pPr xmlns:w="http://schemas.openxmlformats.org/wordprocessingml/2006/main">
        <w:jc w:val="both"/>
        <w:spacing w:after="0" w:line="225" w:lineRule="auto"/>
        <w:rPr>
          <w:sz w:val="20"/>
          <w:szCs w:val="20"/>
          <w:color w:val="auto"/>
        </w:rPr>
      </w:pPr>
      <w:r>
        <w:rPr xmlns:w="http://schemas.openxmlformats.org/wordprocessingml/2006/main">
          <w:rFonts w:ascii="Calibri" w:cs="Calibri" w:eastAsia="Calibri" w:hAnsi="Calibri"/>
          <w:sz w:val="22"/>
          <w:szCs w:val="22"/>
          <w:color w:val="auto"/>
        </w:rPr>
        <w:t xml:space="preserve">Αυτό το έγγραφο σάς παρέχει βασικές πληροφορίες σχετικά με αυτό το επενδυτικό προϊόν.</w:t>
      </w:r>
      <w:r>
        <w:rPr xmlns:w="http://schemas.openxmlformats.org/wordprocessingml/2006/main">
          <w:rFonts w:ascii="Calibri" w:cs="Calibri" w:eastAsia="Calibri" w:hAnsi="Calibri"/>
          <w:sz w:val="22"/>
          <w:szCs w:val="22"/>
          <w:color w:val="auto"/>
        </w:rPr>
        <w:t xml:space="preserve"> Δεν είναι υλικό μάρκετινγκ.</w:t>
      </w:r>
      <w:r>
        <w:rPr xmlns:w="http://schemas.openxmlformats.org/wordprocessingml/2006/main">
          <w:rFonts w:ascii="Calibri" w:cs="Calibri" w:eastAsia="Calibri" w:hAnsi="Calibri"/>
          <w:sz w:val="22"/>
          <w:szCs w:val="22"/>
          <w:color w:val="auto"/>
        </w:rPr>
        <w:t xml:space="preserve"> Οι πληροφορίες απαιτούνται από το νόμο για να σας βοηθήσει να κατανοήσετε τη φύση, τους κινδύνους, το κόστος, τα πιθανά κέρδη και τις ζημίες αυτού του προϊόντος και να σας βοηθήσει να το συγκρίνετε με άλλα προϊόντα.</w:t>
      </w:r>
      <w:r>
        <w:rPr xmlns:w="http://schemas.openxmlformats.org/wordprocessingml/2006/main">
          <w:rFonts w:ascii="Calibri" w:cs="Calibri" w:eastAsia="Calibri" w:hAnsi="Calibri"/>
          <w:sz w:val="22"/>
          <w:szCs w:val="22"/>
          <w:color w:val="auto"/>
        </w:rPr>
        <w:t xml:space="preserve"> Αυτό είναι μόνο ένα έγγραφο στα Αγγλικά, δεν επιτρέπεται να μεταφραστεί σε άλλη γλώσσα.</w:t>
      </w:r>
    </w:p>
    <w:p>
      <w:pPr>
        <w:spacing w:after="0" w:line="10"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Προϊόν</w:t>
      </w:r>
    </w:p>
    <w:p>
      <w:pPr>
        <w:spacing w:after="0" w:line="68" w:lineRule="exact"/>
        <w:rPr>
          <w:sz w:val="24"/>
          <w:szCs w:val="24"/>
          <w:color w:val="auto"/>
        </w:rPr>
      </w:pPr>
    </w:p>
    <w:p>
      <w:pPr xmlns:w="http://schemas.openxmlformats.org/wordprocessingml/2006/main">
        <w:ind w:right="100"/>
        <w:spacing w:after="0" w:line="229"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Συμβόλαια Μελλοντικής Εκπλήρωσης Επί Βασικών Εμπορευμάτων Η.Π.Α</w:t>
      </w: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color w:val="auto"/>
        </w:rPr>
        <w:t xml:space="preserve"> Η εταιρεία εκκαθάρισης δικαιωμάτων προαίρεσης ("OCC") παρέχει το παρόν έγγραφο βάσει του κανονισμού αριθ. 1286/2014 της ΕΕ για τα συμβόλαια μελλοντικής εκπλήρωσης επί βασικών εμπορευμάτων.</w:t>
      </w:r>
      <w:r>
        <w:rPr xmlns:w="http://schemas.openxmlformats.org/wordprocessingml/2006/main">
          <w:rFonts w:ascii="Calibri" w:cs="Calibri" w:eastAsia="Calibri" w:hAnsi="Calibri"/>
          <w:sz w:val="22"/>
          <w:szCs w:val="22"/>
          <w:color w:val="auto"/>
        </w:rPr>
        <w:t xml:space="preserve"> Τα συμβόλαια μελλοντικής εκπλήρωσης επί βασικών εμπορευμάτων είναι εισηγμένα και αποτελούν αντικείμενο διαπραγμάτευσης σε χρηματιστήρια συμβολαίων μελλοντικής εκπλήρωσης στις ΗΠΑ, τα οποία είναι καθορισμένες αγορές συμβολαίων που ρυθμίζονται από την Επιτροπή Προθεσμιακών Συναλλαγών επί Βασικών Εμπορευμάτων των ΗΠΑ ("CFTC"), και εκκαθαρίζονται και διακανονίζονται από την OCC, έναν οργανισμό εκκαθάρισης παραγώγων που είναι καταχωρημένος στην CFTC.</w:t>
      </w:r>
      <w:r>
        <w:rPr xmlns:w="http://schemas.openxmlformats.org/wordprocessingml/2006/main">
          <w:rFonts w:ascii="Calibri" w:cs="Calibri" w:eastAsia="Calibri" w:hAnsi="Calibri"/>
          <w:sz w:val="22"/>
          <w:szCs w:val="22"/>
          <w:color w:val="auto"/>
        </w:rPr>
        <w:t xml:space="preserve"> Για περισσότερες πληροφορίες, συμπεριλαμβανομένων των στοιχείων επικοινωνίας για τα χρηματιστήρια συμβολαίων μελλοντικής εκπλήρωσης στις ΗΠΑ, οι επενδυτές μπορούν να επισκεφθούν τον δικτυακό τόπο της OCC στη διεύθυνση </w:t>
      </w:r>
      <w:r>
        <w:rPr xmlns:w="http://schemas.openxmlformats.org/wordprocessingml/2006/main">
          <w:rFonts w:ascii="Calibri" w:cs="Calibri" w:eastAsia="Calibri" w:hAnsi="Calibri"/>
          <w:sz w:val="22"/>
          <w:szCs w:val="22"/>
          <w:u w:val="single" w:color="auto"/>
          <w:color w:val="0563C1"/>
        </w:rPr>
        <w:t xml:space="preserve">www.theocc.com</w:t>
      </w:r>
      <w:r>
        <w:rPr xmlns:w="http://schemas.openxmlformats.org/wordprocessingml/2006/main">
          <w:rFonts w:ascii="Calibri" w:cs="Calibri" w:eastAsia="Calibri" w:hAnsi="Calibri"/>
          <w:sz w:val="22"/>
          <w:szCs w:val="22"/>
          <w:color w:val="auto"/>
        </w:rPr>
        <w:t xml:space="preserve"> ή να επικοινωνήσουν με την OCC στο 1-312-322-6200.</w:t>
      </w:r>
      <w:r>
        <w:rPr xmlns:w="http://schemas.openxmlformats.org/wordprocessingml/2006/main">
          <w:rFonts w:ascii="Calibri" w:cs="Calibri" w:eastAsia="Calibri" w:hAnsi="Calibri"/>
          <w:sz w:val="22"/>
          <w:szCs w:val="22"/>
          <w:color w:val="auto"/>
        </w:rPr>
        <w:t xml:space="preserve"> Τελευταία ενημέρωση 28 Δεκεμβρίου 2022 και 20 Απριλίου 2023.</w:t>
      </w:r>
    </w:p>
    <w:p>
      <w:pPr>
        <w:spacing w:after="0" w:line="83" w:lineRule="exact"/>
        <w:rPr>
          <w:sz w:val="24"/>
          <w:szCs w:val="24"/>
          <w:color w:val="auto"/>
        </w:rPr>
      </w:pPr>
    </w:p>
    <w:p>
      <w:pPr xmlns:w="http://schemas.openxmlformats.org/wordprocessingml/2006/main">
        <w:spacing w:after="0" w:line="228" w:lineRule="auto"/>
        <w:rPr>
          <w:sz w:val="20"/>
          <w:szCs w:val="20"/>
          <w:color w:val="auto"/>
        </w:rPr>
      </w:pPr>
      <w:r>
        <w:rPr xmlns:w="http://schemas.openxmlformats.org/wordprocessingml/2006/main">
          <w:rFonts w:ascii="Calibri" w:cs="Calibri" w:eastAsia="Calibri" w:hAnsi="Calibri"/>
          <w:sz w:val="22"/>
          <w:szCs w:val="22"/>
          <w:color w:val="auto"/>
        </w:rPr>
        <w:t xml:space="preserve">Συναγερμός.</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b w:val="1"/>
          <w:bCs w:val="1"/>
          <w:color w:val="auto"/>
        </w:rPr>
        <w:t xml:space="preserve">Πρόκειται να αγοράσετε ένα προϊόν που δεν είναι απλό και μπορεί να είναι δύσκολο να κατανοηθεί.</w:t>
      </w:r>
      <w:r>
        <w:rPr xmlns:w="http://schemas.openxmlformats.org/wordprocessingml/2006/main">
          <w:rFonts w:ascii="Calibri" w:cs="Calibri" w:eastAsia="Calibri" w:hAnsi="Calibri"/>
          <w:sz w:val="22"/>
          <w:szCs w:val="22"/>
          <w:color w:val="auto"/>
        </w:rPr>
        <w:t xml:space="preserve"> Οι επενδυτές δεν θα πρέπει να συναλλάσσονται συμβόλαια μελλοντικής εκπλήρωσης επί βασικών εμπορευμάτων έως ότου διαβάσουν και κατανοήσουν το παρόν έγγραφο και τις τυχόν πρόσθετες γνωστοποιήσεις που παρέχει ο μεσίτης τους, η ουσία των οποίων μπορεί να περιλαμβάνει τα </w:t>
      </w:r>
      <w:r>
        <w:rPr xmlns:w="http://schemas.openxmlformats.org/wordprocessingml/2006/main">
          <w:rFonts w:ascii="Calibri" w:cs="Calibri" w:eastAsia="Calibri" w:hAnsi="Calibri"/>
          <w:sz w:val="22"/>
          <w:szCs w:val="22"/>
          <w:u w:val="single" w:color="auto"/>
          <w:color w:val="auto"/>
        </w:rPr>
        <w:t xml:space="preserve">ομοιόμορφα συμβόλαια μελλοντικής εκπλήρωσης και τις επιλογές της Ένωσης Προθεσμιακών Βιομηχανιών σχετικά με τις γνωστοποιήσεις κινδύνου συμβολαίων μελλοντικής εκπλήρωσης</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u w:val="single" w:color="auto"/>
          <w:color w:val="0563C1"/>
        </w:rPr>
        <w:t xml:space="preserve">https://lc.fia.org/uniform-futures-and-options-futures-risk-disclosures</w:t>
      </w:r>
      <w:r>
        <w:rPr xmlns:w="http://schemas.openxmlformats.org/wordprocessingml/2006/main">
          <w:rFonts w:ascii="Calibri" w:cs="Calibri" w:eastAsia="Calibri" w:hAnsi="Calibri"/>
          <w:sz w:val="22"/>
          <w:szCs w:val="22"/>
          <w:i w:val="1"/>
          <w:iCs w:val="1"/>
          <w:color w:val="auto"/>
        </w:rPr>
        <w:t xml:space="preserve">.</w:t>
      </w:r>
      <w:r>
        <w:rPr xmlns:w="http://schemas.openxmlformats.org/wordprocessingml/2006/main">
          <w:rFonts w:ascii="Calibri" w:cs="Calibri" w:eastAsia="Calibri" w:hAnsi="Calibri"/>
          <w:sz w:val="22"/>
          <w:szCs w:val="22"/>
          <w:color w:val="auto"/>
        </w:rPr>
        <w:t xml:space="preserve"> Οι γνωστοποιήσεις στο παρόν θα πρέπει να ερμηνεύονται κατά τρόπο συνεπή με τις γνωστοποιήσεις αυτές.</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-59055</wp:posOffset>
                </wp:positionH>
                <wp:positionV relativeFrom="paragraph">
                  <wp:posOffset>20955</wp:posOffset>
                </wp:positionV>
                <wp:extent cx="6776720" cy="5283835"/>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776720" cy="5283835"/>
                        </a:xfrm>
                        <a:prstGeom prst="rect">
                          <a:avLst/>
                        </a:prstGeom>
                        <a:solidFill>
                          <a:srgbClr val="BDD6EE"/>
                        </a:solidFill>
                      </wps:spPr>
                      <wps:bodyPr/>
                    </wps:wsp>
                  </a:graphicData>
                </a:graphic>
              </wp:anchor>
            </w:drawing>
          </mc:Choice>
          <mc:Fallback>
            <w:pict>
              <v:rect id="Shape 11" o:spid="_x0000_s1036" style="position:absolute;margin-left:-4.6499pt;margin-top:1.65pt;width:533.6pt;height:416.0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BDD6EE" stroked="f"/>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Τι είναι αυτό το προϊόν;</w:t>
      </w:r>
    </w:p>
    <w:p>
      <w:pPr>
        <w:spacing w:after="0" w:line="42"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Τύπος</w:t>
      </w:r>
    </w:p>
    <w:p>
      <w:pPr>
        <w:spacing w:after="0" w:line="105" w:lineRule="exact"/>
        <w:rPr>
          <w:sz w:val="24"/>
          <w:szCs w:val="24"/>
          <w:color w:val="auto"/>
        </w:rPr>
      </w:pPr>
    </w:p>
    <w:p>
      <w:pPr xmlns:w="http://schemas.openxmlformats.org/wordprocessingml/2006/main">
        <w:ind w:right="60"/>
        <w:spacing w:after="0" w:line="233" w:lineRule="auto"/>
        <w:rPr>
          <w:sz w:val="20"/>
          <w:szCs w:val="20"/>
          <w:color w:val="auto"/>
        </w:rPr>
      </w:pPr>
      <w:r>
        <w:rPr xmlns:w="http://schemas.openxmlformats.org/wordprocessingml/2006/main">
          <w:rFonts w:ascii="Calibri" w:cs="Calibri" w:eastAsia="Calibri" w:hAnsi="Calibri"/>
          <w:sz w:val="22"/>
          <w:szCs w:val="22"/>
          <w:color w:val="auto"/>
        </w:rPr>
        <w:t xml:space="preserve">Ένα συμβόλαιο μελλοντικής εκπλήρωσης επί εμπορευμάτων είναι μια συμφωνία μεταξύ δύο μερών για την αγορά ή πώληση ενός προκαθορισμένου ποσού ενός εμπορεύματος σε μια συγκεκριμένη τιμή σε μια μελλοντική ημερομηνία.</w:t>
      </w:r>
      <w:r>
        <w:rPr xmlns:w="http://schemas.openxmlformats.org/wordprocessingml/2006/main">
          <w:rFonts w:ascii="Calibri" w:cs="Calibri" w:eastAsia="Calibri" w:hAnsi="Calibri"/>
          <w:sz w:val="22"/>
          <w:szCs w:val="22"/>
          <w:color w:val="auto"/>
        </w:rPr>
        <w:t xml:space="preserve"> Ένα πρόσωπο που αγοράζει ένα συμβόλαιο μελλοντικής εκπλήρωσης επί εμπορεύματος συνάπτει ένα συμβόλαιο για την αγορά ενός υποκείμενου εμπορεύματος και λέγεται ότι είναι «μακράς» διάρκειας το συμβόλαιο.</w:t>
      </w:r>
      <w:r>
        <w:rPr xmlns:w="http://schemas.openxmlformats.org/wordprocessingml/2006/main">
          <w:rFonts w:ascii="Calibri" w:cs="Calibri" w:eastAsia="Calibri" w:hAnsi="Calibri"/>
          <w:sz w:val="22"/>
          <w:szCs w:val="22"/>
          <w:color w:val="auto"/>
        </w:rPr>
        <w:t xml:space="preserve"> Το άνοιγμα στο υποκείμενο βασικό εμπόρευμα είναι επομένως έμμεσο, διότι η μελλοντική αξία προκύπτει από την αξία του υποκείμενου εμπορεύματος.</w:t>
      </w:r>
      <w:r>
        <w:rPr xmlns:w="http://schemas.openxmlformats.org/wordprocessingml/2006/main">
          <w:rFonts w:ascii="Calibri" w:cs="Calibri" w:eastAsia="Calibri" w:hAnsi="Calibri"/>
          <w:sz w:val="22"/>
          <w:szCs w:val="22"/>
          <w:color w:val="auto"/>
        </w:rPr>
        <w:t xml:space="preserve"> Οι ημερομηνίες λήξης για τα συμβόλαια μελλοντικής εκπλήρωσης επί βασικών εμπορευμάτων ποικίλλουν.</w:t>
      </w:r>
      <w:r>
        <w:rPr xmlns:w="http://schemas.openxmlformats.org/wordprocessingml/2006/main">
          <w:rFonts w:ascii="Calibri" w:cs="Calibri" w:eastAsia="Calibri" w:hAnsi="Calibri"/>
          <w:sz w:val="22"/>
          <w:szCs w:val="22"/>
          <w:color w:val="auto"/>
        </w:rPr>
        <w:t xml:space="preserve"> Η OCC δεν μπορεί να τερματίσει μονομερώς το μέλλον.</w:t>
      </w:r>
      <w:r>
        <w:rPr xmlns:w="http://schemas.openxmlformats.org/wordprocessingml/2006/main">
          <w:rFonts w:ascii="Calibri" w:cs="Calibri" w:eastAsia="Calibri" w:hAnsi="Calibri"/>
          <w:sz w:val="22"/>
          <w:szCs w:val="22"/>
          <w:color w:val="auto"/>
        </w:rPr>
        <w:t xml:space="preserve"> Σε ορισμένες εξαιρετικές περιπτώσεις, η ανταλλαγή συμβολαίων μελλοντικής εκπλήρωσης στις Η.Π.Α. στην οποία εκτελείται η συναλλαγή σας μπορεί να τροποποιήσει τους όρους του συμβολαίου μελλοντικής εκπλήρωσης ή να καταγγείλει τη σύμβαση.</w:t>
      </w:r>
      <w:r>
        <w:rPr xmlns:w="http://schemas.openxmlformats.org/wordprocessingml/2006/main">
          <w:rFonts w:ascii="Calibri" w:cs="Calibri" w:eastAsia="Calibri" w:hAnsi="Calibri"/>
          <w:sz w:val="22"/>
          <w:szCs w:val="22"/>
          <w:color w:val="auto"/>
        </w:rPr>
        <w:t xml:space="preserve"> Ένα γεγονός που αφορά το υποκείμενο εμπόρευμα μπορεί επίσης να οδηγήσει σε αλλαγή των όρων της σύμβασης συμβολαίων μελλοντικής εκπλήρωσης σύμφωνα με τους κανόνες της OCC, και η μεθοδολογία μπορεί να διαφέρει από οποιαδήποτε μεθοδολογία που χρησιμοποιείται στις ευρωπαϊκές αγορές.</w:t>
      </w:r>
    </w:p>
    <w:p>
      <w:pPr>
        <w:spacing w:after="0" w:line="4"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Στόχοι</w:t>
      </w:r>
    </w:p>
    <w:p>
      <w:pPr>
        <w:spacing w:after="0" w:line="108" w:lineRule="exact"/>
        <w:rPr>
          <w:sz w:val="24"/>
          <w:szCs w:val="24"/>
          <w:color w:val="auto"/>
        </w:rPr>
      </w:pPr>
    </w:p>
    <w:p>
      <w:pPr xmlns:w="http://schemas.openxmlformats.org/wordprocessingml/2006/main">
        <w:spacing w:after="0" w:line="235" w:lineRule="auto"/>
        <w:rPr>
          <w:sz w:val="20"/>
          <w:szCs w:val="20"/>
          <w:color w:val="auto"/>
        </w:rPr>
      </w:pPr>
      <w:r>
        <w:rPr xmlns:w="http://schemas.openxmlformats.org/wordprocessingml/2006/main">
          <w:rFonts w:ascii="Calibri" w:cs="Calibri" w:eastAsia="Calibri" w:hAnsi="Calibri"/>
          <w:sz w:val="22"/>
          <w:szCs w:val="22"/>
          <w:color w:val="auto"/>
        </w:rPr>
        <w:t xml:space="preserve">Ένα μακροπρόθεσμο συμβόλαιο μελλοντικής εκπλήρωσης επί εμπορευμάτων είναι μια συμφωνία για την αγορά ενός προκαθορισμένου ποσού ενός εμπορεύματος σε μια προκαθορισμένη τιμή σε μια καθορισμένη μελλοντική ημερομηνία.</w:t>
      </w:r>
      <w:r>
        <w:rPr xmlns:w="http://schemas.openxmlformats.org/wordprocessingml/2006/main">
          <w:rFonts w:ascii="Calibri" w:cs="Calibri" w:eastAsia="Calibri" w:hAnsi="Calibri"/>
          <w:sz w:val="22"/>
          <w:szCs w:val="22"/>
          <w:color w:val="auto"/>
        </w:rPr>
        <w:t xml:space="preserve"> Ένας αγοραστής γενικά αγοράζει ένα μακροπρόθεσμο συμβόλαιο μελλοντικής εκπλήρωσης επί εμπορευμάτων με την προσδοκία ότι η τιμή του υποκείμενου εμπορεύματος θα αυξηθεί κατά την ημερομηνία λήξης του συμβολαίου.</w:t>
      </w:r>
      <w:r>
        <w:rPr xmlns:w="http://schemas.openxmlformats.org/wordprocessingml/2006/main">
          <w:rFonts w:ascii="Calibri" w:cs="Calibri" w:eastAsia="Calibri" w:hAnsi="Calibri"/>
          <w:sz w:val="22"/>
          <w:szCs w:val="22"/>
          <w:color w:val="auto"/>
        </w:rPr>
        <w:t xml:space="preserve"> Ο αγοραστής θα πραγματοποιήσει ακαθάριστο κέρδος αν η αξία του υποκείμενου εμπορεύματος έχει αυξηθεί κατά το κλείσιμο του μέλλοντος και θα πραγματοποιήσει ακαθάριστη ζημία αν έχει μειωθεί.</w:t>
      </w:r>
      <w:r>
        <w:rPr xmlns:w="http://schemas.openxmlformats.org/wordprocessingml/2006/main">
          <w:rFonts w:ascii="Calibri" w:cs="Calibri" w:eastAsia="Calibri" w:hAnsi="Calibri"/>
          <w:sz w:val="22"/>
          <w:szCs w:val="22"/>
          <w:color w:val="auto"/>
        </w:rPr>
        <w:t xml:space="preserve"> Δεν υπάρχει συνιστώμενη περίοδος διακράτησης για συμβόλαια μελλοντικής εκπλήρωσης επί βασικών εμπορευμάτων.</w:t>
      </w:r>
      <w:r>
        <w:rPr xmlns:w="http://schemas.openxmlformats.org/wordprocessingml/2006/main">
          <w:rFonts w:ascii="Calibri" w:cs="Calibri" w:eastAsia="Calibri" w:hAnsi="Calibri"/>
          <w:sz w:val="22"/>
          <w:szCs w:val="22"/>
          <w:color w:val="auto"/>
        </w:rPr>
        <w:t xml:space="preserve"> Οι αγοραστές και οι πωλητές μπορούν να βιώσουν κέρδη ή ζημίες σε οποιοδήποτε σημείο μέχρι και την ημερομηνία λήξης του μέλλοντος.</w:t>
      </w:r>
      <w:r>
        <w:rPr xmlns:w="http://schemas.openxmlformats.org/wordprocessingml/2006/main">
          <w:rFonts w:ascii="Calibri" w:cs="Calibri" w:eastAsia="Calibri" w:hAnsi="Calibri"/>
          <w:sz w:val="22"/>
          <w:szCs w:val="22"/>
          <w:color w:val="auto"/>
        </w:rPr>
        <w:t xml:space="preserve"> Ενώ ένα μέλλον επί βασικών εμπορευμάτων έχει προκαθορισμένη ημερομηνία λήξης, μια ανοικτή θέση μπορεί να κλείσει με τη διενέργεια συναλλαγής συμψηφισμού πριν από τη λήξη της σύμβασης.</w:t>
      </w:r>
      <w:r>
        <w:rPr xmlns:w="http://schemas.openxmlformats.org/wordprocessingml/2006/main">
          <w:rFonts w:ascii="Calibri" w:cs="Calibri" w:eastAsia="Calibri" w:hAnsi="Calibri"/>
          <w:sz w:val="22"/>
          <w:szCs w:val="22"/>
          <w:color w:val="auto"/>
        </w:rPr>
        <w:t xml:space="preserve"> Τα συμβόλαια μελλοντικής εκπλήρωσης επί βασικών εμπορευμάτων που δεν εκκαθαρίζονται πριν από τη λήξη τους πρέπει να διακανονίζονται σύμφωνα με τους όρους της σύμβασης, για τα οποία ενδέχεται να απαιτείται διακανονισμός σε μετρητά.</w:t>
      </w:r>
      <w:r>
        <w:rPr xmlns:w="http://schemas.openxmlformats.org/wordprocessingml/2006/main">
          <w:rFonts w:ascii="Calibri" w:cs="Calibri" w:eastAsia="Calibri" w:hAnsi="Calibri"/>
          <w:sz w:val="22"/>
          <w:szCs w:val="22"/>
          <w:color w:val="auto"/>
        </w:rPr>
        <w:t xml:space="preserve"> Για τα συμβόλαια μελλοντικής εκπλήρωσης επί βασικών εμπορευμάτων που διακανονίζονται μέσω διακανονισμού τοις μετρητοίς, όλες οι θέσεις στο συμβόλαιο μελλοντικής εκπλήρωσης επί βασικών εμπορευμάτων που είναι ανοικτές στο τέλος της τελευταίας ημέρας διαπραγμάτευσης διακανονίζονται μέσω τελικής πληρωμής τοις μετρητοίς με βάση την τελική τιμή διακανονισμού για το υποκείμενο βασικό εμπόρευμα.</w:t>
      </w:r>
      <w:r>
        <w:rPr xmlns:w="http://schemas.openxmlformats.org/wordprocessingml/2006/main">
          <w:rFonts w:ascii="Calibri" w:cs="Calibri" w:eastAsia="Calibri" w:hAnsi="Calibri"/>
          <w:sz w:val="22"/>
          <w:szCs w:val="22"/>
          <w:color w:val="auto"/>
        </w:rPr>
        <w:t xml:space="preserve"> Οι παράγοντες που επηρεάζουν την αξία ενός βασικού μέλλοντος περιλαμβάνουν την αξία του υποκείμενου μέσου και την ευαισθησία του στις διακυμάνσεις των τιμών (μεταβλητότητα).</w:t>
      </w:r>
    </w:p>
    <w:p>
      <w:pPr>
        <w:spacing w:after="0" w:line="45"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Επιδιωκόμενος ιδιώτης επενδυτής</w:t>
      </w:r>
    </w:p>
    <w:p>
      <w:pPr>
        <w:spacing w:after="0" w:line="146" w:lineRule="exact"/>
        <w:rPr>
          <w:sz w:val="24"/>
          <w:szCs w:val="24"/>
          <w:color w:val="auto"/>
        </w:rPr>
      </w:pPr>
    </w:p>
    <w:p>
      <w:pPr xmlns:w="http://schemas.openxmlformats.org/wordprocessingml/2006/main">
        <w:ind w:right="460"/>
        <w:spacing w:after="0" w:line="225" w:lineRule="auto"/>
        <w:rPr>
          <w:sz w:val="20"/>
          <w:szCs w:val="20"/>
          <w:color w:val="auto"/>
        </w:rPr>
      </w:pPr>
      <w:r>
        <w:rPr xmlns:w="http://schemas.openxmlformats.org/wordprocessingml/2006/main">
          <w:rFonts w:ascii="Calibri" w:cs="Calibri" w:eastAsia="Calibri" w:hAnsi="Calibri"/>
          <w:sz w:val="22"/>
          <w:szCs w:val="22"/>
          <w:color w:val="auto"/>
        </w:rPr>
        <w:t xml:space="preserve">Το προϊόν αυτό δεν έχει σχεδιαστεί για συγκεκριμένο τύπο επενδυτή ή για την επίτευξη συγκεκριμένου επενδυτικού στόχου ή στρατηγικής.</w:t>
      </w:r>
      <w:r>
        <w:rPr xmlns:w="http://schemas.openxmlformats.org/wordprocessingml/2006/main">
          <w:rFonts w:ascii="Calibri" w:cs="Calibri" w:eastAsia="Calibri" w:hAnsi="Calibri"/>
          <w:sz w:val="22"/>
          <w:szCs w:val="22"/>
          <w:color w:val="auto"/>
        </w:rPr>
        <w:t xml:space="preserve"> Τα συμβόλαια μελλοντικής εκπλήρωσης επί βασικών εμπορευμάτων δεν είναι κατάλληλα για όλους τους επενδυτές και προορίζονται μόνο για επενδυτές που έχουν πλήρη κατανόηση του προϊόντος και μπορούν να αντέξουν τις δυνητικές ζημίες που συνδέονται με αυτό και τη σχετική επενδυτική στρατηγική.</w:t>
      </w:r>
      <w:r>
        <w:rPr xmlns:w="http://schemas.openxmlformats.org/wordprocessingml/2006/main">
          <w:rFonts w:ascii="Calibri" w:cs="Calibri" w:eastAsia="Calibri" w:hAnsi="Calibri"/>
          <w:sz w:val="22"/>
          <w:szCs w:val="22"/>
          <w:color w:val="auto"/>
        </w:rPr>
        <w:t xml:space="preserve"> Αν έχετε ερωτήσεις σχετικά με την καταλληλότητα, μπορείτε να επικοινωνήσετε με το μεσίτη ή τον σύμβουλο επενδύσεων σας.</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-65405</wp:posOffset>
                </wp:positionH>
                <wp:positionV relativeFrom="paragraph">
                  <wp:posOffset>17780</wp:posOffset>
                </wp:positionV>
                <wp:extent cx="6788785" cy="0"/>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788785"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12" o:spid="_x0000_s103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1499pt,1.4pt" to="529.4pt,1.4pt" o:allowincell="f" strokecolor="#000000" strokeweight="0.48pt"/>
            </w:pict>
          </mc:Fallback>
        </mc:AlternateContent>
      </w:r>
    </w:p>
    <w:p>
      <w:pPr>
        <w:sectPr>
          <w:pgSz w:w="12240" w:h="15840" w:orient="portrait"/>
          <w:cols w:equalWidth="0" w:num="1">
            <w:col w:w="10480"/>
          </w:cols>
          <w:pgMar w:left="1080" w:top="699" w:right="680" w:bottom="812" w:gutter="0" w:footer="0" w:header="0"/>
        </w:sectPr>
      </w:pPr>
    </w:p>
    <w:bookmarkStart w:id="1" w:name="page2"/>
    <w:bookmarkEnd w:id="1"/>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709930</wp:posOffset>
                </wp:positionH>
                <wp:positionV relativeFrom="page">
                  <wp:posOffset>6688455</wp:posOffset>
                </wp:positionV>
                <wp:extent cx="6699250" cy="0"/>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9250" cy="4763"/>
                        </a:xfrm>
                        <a:prstGeom prst="line">
                          <a:avLst/>
                        </a:prstGeom>
                        <a:solidFill>
                          <a:srgbClr val="FFFFFF"/>
                        </a:solidFill>
                        <a:ln w="12191">
                          <a:solidFill>
                            <a:srgbClr val="000000"/>
                          </a:solidFill>
                          <a:miter lim="800000"/>
                          <a:headEnd/>
                          <a:tailEnd/>
                        </a:ln>
                      </wps:spPr>
                      <wps:bodyPr/>
                    </wps:wsp>
                  </a:graphicData>
                </a:graphic>
              </wp:anchor>
            </w:drawing>
          </mc:Choice>
          <mc:Fallback>
            <w:pict>
              <v:line xmlns:v="urn:schemas-microsoft-com:vml" id="Shape 13" o:spid="_x0000_s103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5.9pt,526.65pt" to="583.4pt,526.65pt" o:allowincell="f" strokecolor="#000000" strokeweight="0.95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716280</wp:posOffset>
                </wp:positionH>
                <wp:positionV relativeFrom="page">
                  <wp:posOffset>6682740</wp:posOffset>
                </wp:positionV>
                <wp:extent cx="0" cy="1549400"/>
                <wp:wrapNone/>
                <wp:docPr id="14" name="Shape 1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1549400"/>
                        </a:xfrm>
                        <a:prstGeom prst="line">
                          <a:avLst/>
                        </a:prstGeom>
                        <a:solidFill>
                          <a:srgbClr val="FFFFFF"/>
                        </a:solidFill>
                        <a:ln w="12192">
                          <a:solidFill>
                            <a:srgbClr val="000000"/>
                          </a:solidFill>
                          <a:miter lim="800000"/>
                          <a:headEnd/>
                          <a:tailEnd/>
                        </a:ln>
                      </wps:spPr>
                      <wps:bodyPr/>
                    </wps:wsp>
                  </a:graphicData>
                </a:graphic>
              </wp:anchor>
            </w:drawing>
          </mc:Choice>
          <mc:Fallback>
            <w:pict>
              <v:line xmlns:v="urn:schemas-microsoft-com:vml" id="Shape 14" o:spid="_x0000_s103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6.4pt,526.2pt" to="56.4pt,648.2pt" o:allowincell="f" strokecolor="#000000" strokeweight="0.96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3863340</wp:posOffset>
                </wp:positionH>
                <wp:positionV relativeFrom="page">
                  <wp:posOffset>6682740</wp:posOffset>
                </wp:positionV>
                <wp:extent cx="0" cy="1549400"/>
                <wp:wrapNone/>
                <wp:docPr id="15" name="Shape 1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1549400"/>
                        </a:xfrm>
                        <a:prstGeom prst="line">
                          <a:avLst/>
                        </a:prstGeom>
                        <a:solidFill>
                          <a:srgbClr val="FFFFFF"/>
                        </a:solidFill>
                        <a:ln w="12191">
                          <a:solidFill>
                            <a:srgbClr val="000000"/>
                          </a:solidFill>
                          <a:miter lim="800000"/>
                          <a:headEnd/>
                          <a:tailEnd/>
                        </a:ln>
                      </wps:spPr>
                      <wps:bodyPr/>
                    </wps:wsp>
                  </a:graphicData>
                </a:graphic>
              </wp:anchor>
            </w:drawing>
          </mc:Choice>
          <mc:Fallback>
            <w:pict>
              <v:line xmlns:v="urn:schemas-microsoft-com:vml" id="Shape 15" o:spid="_x0000_s104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04.2pt,526.2pt" to="304.2pt,648.2pt" o:allowincell="f" strokecolor="#000000" strokeweight="0.95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5628005</wp:posOffset>
                </wp:positionH>
                <wp:positionV relativeFrom="page">
                  <wp:posOffset>7560310</wp:posOffset>
                </wp:positionV>
                <wp:extent cx="1781175" cy="0"/>
                <wp:wrapNone/>
                <wp:docPr id="16" name="Shape 1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1781175" cy="4763"/>
                        </a:xfrm>
                        <a:prstGeom prst="line">
                          <a:avLst/>
                        </a:prstGeom>
                        <a:solidFill>
                          <a:srgbClr val="FFFFFF"/>
                        </a:solidFill>
                        <a:ln w="12192">
                          <a:solidFill>
                            <a:srgbClr val="000000"/>
                          </a:solidFill>
                          <a:miter lim="800000"/>
                          <a:headEnd/>
                          <a:tailEnd/>
                        </a:ln>
                      </wps:spPr>
                      <wps:bodyPr/>
                    </wps:wsp>
                  </a:graphicData>
                </a:graphic>
              </wp:anchor>
            </w:drawing>
          </mc:Choice>
          <mc:Fallback>
            <w:pict>
              <v:line xmlns:v="urn:schemas-microsoft-com:vml" id="Shape 16" o:spid="_x0000_s104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43.15pt,595.3pt" to="583.4pt,595.3pt" o:allowincell="f" strokecolor="#000000" strokeweight="0.96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5633720</wp:posOffset>
                </wp:positionH>
                <wp:positionV relativeFrom="page">
                  <wp:posOffset>6682740</wp:posOffset>
                </wp:positionV>
                <wp:extent cx="0" cy="1549400"/>
                <wp:wrapNone/>
                <wp:docPr id="17" name="Shape 1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1549400"/>
                        </a:xfrm>
                        <a:prstGeom prst="line">
                          <a:avLst/>
                        </a:prstGeom>
                        <a:solidFill>
                          <a:srgbClr val="FFFFFF"/>
                        </a:solidFill>
                        <a:ln w="12191">
                          <a:solidFill>
                            <a:srgbClr val="000000"/>
                          </a:solidFill>
                          <a:miter lim="800000"/>
                          <a:headEnd/>
                          <a:tailEnd/>
                        </a:ln>
                      </wps:spPr>
                      <wps:bodyPr/>
                    </wps:wsp>
                  </a:graphicData>
                </a:graphic>
              </wp:anchor>
            </w:drawing>
          </mc:Choice>
          <mc:Fallback>
            <w:pict>
              <v:line xmlns:v="urn:schemas-microsoft-com:vml" id="Shape 17" o:spid="_x0000_s104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43.6pt,526.2pt" to="443.6pt,648.2pt" o:allowincell="f" strokecolor="#000000" strokeweight="0.95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709930</wp:posOffset>
                </wp:positionH>
                <wp:positionV relativeFrom="page">
                  <wp:posOffset>8226425</wp:posOffset>
                </wp:positionV>
                <wp:extent cx="6699250" cy="0"/>
                <wp:wrapNone/>
                <wp:docPr id="18" name="Shape 18"/>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9250" cy="4763"/>
                        </a:xfrm>
                        <a:prstGeom prst="line">
                          <a:avLst/>
                        </a:prstGeom>
                        <a:solidFill>
                          <a:srgbClr val="FFFFFF"/>
                        </a:solidFill>
                        <a:ln w="12192">
                          <a:solidFill>
                            <a:srgbClr val="000000"/>
                          </a:solidFill>
                          <a:miter lim="800000"/>
                          <a:headEnd/>
                          <a:tailEnd/>
                        </a:ln>
                      </wps:spPr>
                      <wps:bodyPr/>
                    </wps:wsp>
                  </a:graphicData>
                </a:graphic>
              </wp:anchor>
            </w:drawing>
          </mc:Choice>
          <mc:Fallback>
            <w:pict>
              <v:line xmlns:v="urn:schemas-microsoft-com:vml" id="Shape 18" o:spid="_x0000_s104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5.9pt,647.75pt" to="583.4pt,647.75pt" o:allowincell="f" strokecolor="#000000" strokeweight="0.96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619760</wp:posOffset>
                </wp:positionH>
                <wp:positionV relativeFrom="page">
                  <wp:posOffset>459740</wp:posOffset>
                </wp:positionV>
                <wp:extent cx="6789420" cy="0"/>
                <wp:wrapNone/>
                <wp:docPr id="19" name="Shape 19"/>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894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9" o:spid="_x0000_s104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8.8pt,36.2pt" to="583.4pt,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622935</wp:posOffset>
                </wp:positionH>
                <wp:positionV relativeFrom="page">
                  <wp:posOffset>457200</wp:posOffset>
                </wp:positionV>
                <wp:extent cx="0" cy="8974455"/>
                <wp:wrapNone/>
                <wp:docPr id="20" name="Shape 20"/>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97445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0" o:spid="_x0000_s1045"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9.05pt,36pt" to="49.05pt,742.6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7406640</wp:posOffset>
                </wp:positionH>
                <wp:positionV relativeFrom="page">
                  <wp:posOffset>457200</wp:posOffset>
                </wp:positionV>
                <wp:extent cx="0" cy="8974455"/>
                <wp:wrapNone/>
                <wp:docPr id="21" name="Shape 21"/>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97445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1" o:spid="_x0000_s1046"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83.2pt,36pt" to="583.2pt,742.6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w:t xml:space="preserve">Ποιοι είναι οι κίνδυνοι και τι θα μπορούσα να πάρω ως αντάλλαγμα;</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1200785</wp:posOffset>
            </wp:positionH>
            <wp:positionV relativeFrom="paragraph">
              <wp:posOffset>15875</wp:posOffset>
            </wp:positionV>
            <wp:extent cx="4895215" cy="191389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2">
                      <a:clrChange>
                        <a:clrFrom>
                          <a:srgbClr val="000000"/>
                        </a:clrFrom>
                        <a:clrTo>
                          <a:srgbClr val="000000">
                            <a:alpha val="0"/>
                          </a:srgbClr>
                        </a:clrTo>
                      </a:clrChange>
                      <a:extLst>
                        <a:ext uri="{28A0092B-C50C-407E-A947-70E740481C1C}"/>
                      </a:extLst>
                    </a:blip>
                    <a:srcRect/>
                    <a:stretch>
                      <a:fillRect/>
                    </a:stretch>
                  </pic:blipFill>
                  <pic:spPr bwMode="auto">
                    <a:xfrm>
                      <a:off x="0" y="0"/>
                      <a:ext cx="4895215" cy="1913890"/>
                    </a:xfrm>
                    <a:prstGeom prst="rect">
                      <a:avLst/>
                    </a:prstGeom>
                    <a:noFill/>
                  </pic:spPr>
                </pic:pic>
              </a:graphicData>
            </a:graphic>
          </wp:anchor>
        </w:drawing>
        <w:drawing>
          <wp:anchor simplePos="0" relativeHeight="251657728" behindDoc="1" locked="0" layoutInCell="0" allowOverlap="1">
            <wp:simplePos x="0" y="0"/>
            <wp:positionH relativeFrom="column">
              <wp:posOffset>1200785</wp:posOffset>
            </wp:positionH>
            <wp:positionV relativeFrom="paragraph">
              <wp:posOffset>15875</wp:posOffset>
            </wp:positionV>
            <wp:extent cx="4895215" cy="191389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3">
                      <a:clrChange>
                        <a:clrFrom>
                          <a:srgbClr val="FFFFFF"/>
                        </a:clrFrom>
                        <a:clrTo>
                          <a:srgbClr val="FFFFFF">
                            <a:alpha val="0"/>
                          </a:srgbClr>
                        </a:clrTo>
                      </a:clrChange>
                      <a:extLst>
                        <a:ext uri="{28A0092B-C50C-407E-A947-70E740481C1C}"/>
                      </a:extLst>
                    </a:blip>
                    <a:srcRect/>
                    <a:stretch>
                      <a:fillRect/>
                    </a:stretch>
                  </pic:blipFill>
                  <pic:spPr bwMode="auto">
                    <a:xfrm>
                      <a:off x="0" y="0"/>
                      <a:ext cx="4895215" cy="1913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3"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Δείκτης κινδύνου</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7" w:lineRule="exact"/>
        <w:rPr>
          <w:sz w:val="20"/>
          <w:szCs w:val="20"/>
          <w:color w:val="auto"/>
        </w:rPr>
      </w:pPr>
    </w:p>
    <w:p>
      <w:pPr xmlns:w="http://schemas.openxmlformats.org/wordprocessingml/2006/main">
        <w:ind w:right="180"/>
        <w:spacing w:after="0" w:line="227" w:lineRule="auto"/>
        <w:rPr>
          <w:sz w:val="20"/>
          <w:szCs w:val="20"/>
          <w:color w:val="auto"/>
        </w:rPr>
      </w:pPr>
      <w:r>
        <w:rPr xmlns:w="http://schemas.openxmlformats.org/wordprocessingml/2006/main">
          <w:rFonts w:ascii="Calibri" w:cs="Calibri" w:eastAsia="Calibri" w:hAnsi="Calibri"/>
          <w:sz w:val="22"/>
          <w:szCs w:val="22"/>
          <w:color w:val="auto"/>
        </w:rPr>
        <w:t xml:space="preserve">Η περίληψη του δείκτη κινδύνου είναι ένας οδηγός για το επίπεδο κινδύνου αυτού του προϊόντος σε σύγκριση με άλλα προϊόντα.</w:t>
      </w:r>
      <w:r>
        <w:rPr xmlns:w="http://schemas.openxmlformats.org/wordprocessingml/2006/main">
          <w:rFonts w:ascii="Calibri" w:cs="Calibri" w:eastAsia="Calibri" w:hAnsi="Calibri"/>
          <w:sz w:val="22"/>
          <w:szCs w:val="22"/>
          <w:color w:val="auto"/>
        </w:rPr>
        <w:t xml:space="preserve"> Δείχνει πόσο πιθανό είναι ότι το προϊόν θα χάσει χρήματα λόγω των κινήσεων στις αγορές ή επειδή δεν είμαστε σε θέση να σας πληρώσουμε.</w:t>
      </w:r>
      <w:r>
        <w:rPr xmlns:w="http://schemas.openxmlformats.org/wordprocessingml/2006/main">
          <w:rFonts w:ascii="Calibri" w:cs="Calibri" w:eastAsia="Calibri" w:hAnsi="Calibri"/>
          <w:sz w:val="22"/>
          <w:szCs w:val="22"/>
          <w:color w:val="auto"/>
        </w:rPr>
        <w:t xml:space="preserve"> Έχουμε ταξινομήσει αυτό το προϊόν ως 7 από 7, η οποία είναι η υψηλότερη κατηγορία κινδύνου και βαθμολογεί τις πιθανές απώλειες από τις μελλοντικές επιδόσεις σε πολύ υψηλό επίπεδο.</w:t>
      </w:r>
      <w:r>
        <w:rPr xmlns:w="http://schemas.openxmlformats.org/wordprocessingml/2006/main">
          <w:rFonts w:ascii="Calibri" w:cs="Calibri" w:eastAsia="Calibri" w:hAnsi="Calibri"/>
          <w:sz w:val="22"/>
          <w:szCs w:val="22"/>
          <w:color w:val="auto"/>
        </w:rPr>
        <w:t xml:space="preserve"> Αυτό το προϊόν δεν περιλαμβάνει καμία προστασία από τις μελλοντικές επιδόσεις της αγοράς, ώστε να μπορείτε να χάσετε μέρος ή το σύνολο της επένδυσής σας, ή περισσότερα.</w:t>
      </w:r>
    </w:p>
    <w:p>
      <w:pPr>
        <w:spacing w:after="0" w:line="200" w:lineRule="exact"/>
        <w:rPr>
          <w:sz w:val="20"/>
          <w:szCs w:val="20"/>
          <w:color w:val="auto"/>
        </w:rPr>
      </w:pPr>
    </w:p>
    <w:p>
      <w:pPr>
        <w:spacing w:after="0" w:line="380" w:lineRule="exact"/>
        <w:rPr>
          <w:sz w:val="20"/>
          <w:szCs w:val="20"/>
          <w:color w:val="auto"/>
        </w:rPr>
      </w:pPr>
    </w:p>
    <w:p>
      <w:pPr xmlns:w="http://schemas.openxmlformats.org/wordprocessingml/2006/main">
        <w:ind w:right="100"/>
        <w:spacing w:after="0" w:line="210" w:lineRule="auto"/>
        <w:rPr>
          <w:sz w:val="20"/>
          <w:szCs w:val="20"/>
          <w:color w:val="auto"/>
        </w:rPr>
      </w:pPr>
      <w:r>
        <w:rPr xmlns:w="http://schemas.openxmlformats.org/wordprocessingml/2006/main">
          <w:rFonts w:ascii="Calibri" w:cs="Calibri" w:eastAsia="Calibri" w:hAnsi="Calibri"/>
          <w:sz w:val="22"/>
          <w:szCs w:val="22"/>
          <w:color w:val="auto"/>
        </w:rPr>
        <w:t xml:space="preserve">Το προφίλ κινδύνου και ανταμοιβής ενός μακροπρόθεσμου συμβολαίου μελλοντικής εκπλήρωσης επί εμπορευμάτων εξαρτάται από τους όρους του, αλλά μπορεί να περιλαμβάνει τις ακόλουθες εκτιμήσεις:</w:t>
      </w:r>
    </w:p>
    <w:p>
      <w:pPr>
        <w:spacing w:after="0" w:line="80" w:lineRule="exact"/>
        <w:rPr>
          <w:sz w:val="20"/>
          <w:szCs w:val="20"/>
          <w:color w:val="auto"/>
        </w:rPr>
      </w:pPr>
    </w:p>
    <w:p>
      <w:pPr xmlns:w="http://schemas.openxmlformats.org/wordprocessingml/2006/main">
        <w:ind w:left="240" w:right="160" w:hanging="230"/>
        <w:spacing w:after="0" w:line="205" w:lineRule="auto"/>
        <w:tabs>
          <w:tab w:leader="none" w:pos="24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Τα συμβόλαια μελλοντικής εκπλήρωσης επί βασικών εμπορευμάτων που αποτελούν αντικείμενο διαπραγμάτευσης ενέχουν κίνδυνο και θα μπορούσαν να οδηγήσουν σε δυνητικά απεριόριστες ζημίες που υπερβαίνουν το ποσό που έχει κατατεθεί ως αρχικό περιθώριο.</w:t>
      </w:r>
    </w:p>
    <w:p>
      <w:pPr>
        <w:spacing w:after="0" w:line="78" w:lineRule="exact"/>
        <w:rPr>
          <w:rFonts w:ascii="Symbol" w:cs="Symbol" w:eastAsia="Symbol" w:hAnsi="Symbol"/>
          <w:sz w:val="22"/>
          <w:szCs w:val="22"/>
          <w:color w:val="auto"/>
        </w:rPr>
      </w:pPr>
    </w:p>
    <w:p>
      <w:pPr xmlns:w="http://schemas.openxmlformats.org/wordprocessingml/2006/main">
        <w:ind w:left="240" w:right="60" w:hanging="230"/>
        <w:spacing w:after="0" w:line="217" w:lineRule="auto"/>
        <w:tabs>
          <w:tab w:leader="none" w:pos="24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Τα συμβόλαια μελλοντικής εκπλήρωσης επί βασικών εμπορευμάτων είναι προϊόντα μόχλευσης.</w:t>
      </w:r>
      <w:r>
        <w:rPr xmlns:w="http://schemas.openxmlformats.org/wordprocessingml/2006/main">
          <w:rFonts w:ascii="Calibri" w:cs="Calibri" w:eastAsia="Calibri" w:hAnsi="Calibri"/>
          <w:sz w:val="22"/>
          <w:szCs w:val="22"/>
          <w:color w:val="auto"/>
        </w:rPr>
        <w:t xml:space="preserve"> Μικρές μεταβολές στην τιμή του μέλλοντος μπορεί να έχουν ως αποτέλεσμα μεγάλα κέρδη ή ζημίες.</w:t>
      </w:r>
      <w:r>
        <w:rPr xmlns:w="http://schemas.openxmlformats.org/wordprocessingml/2006/main">
          <w:rFonts w:ascii="Calibri" w:cs="Calibri" w:eastAsia="Calibri" w:hAnsi="Calibri"/>
          <w:sz w:val="22"/>
          <w:szCs w:val="22"/>
          <w:color w:val="auto"/>
        </w:rPr>
        <w:t xml:space="preserve"> Αν οι κινήσεις στις αγορές των συμβολαίων μελλοντικής εκπλήρωσης ή του υποκείμενου εμπορεύματος μειώσουν την αξία των θέσεών σας, αμέσως μπορεί να σας ζητηθεί να καταθέσετε πρόσθετο περιθώριο και η θέση σας μπορεί να ρευστοποιηθεί βίαια με ζημία.</w:t>
      </w:r>
    </w:p>
    <w:p>
      <w:pPr>
        <w:spacing w:after="0" w:line="79" w:lineRule="exact"/>
        <w:rPr>
          <w:rFonts w:ascii="Symbol" w:cs="Symbol" w:eastAsia="Symbol" w:hAnsi="Symbol"/>
          <w:sz w:val="22"/>
          <w:szCs w:val="22"/>
          <w:color w:val="auto"/>
        </w:rPr>
      </w:pPr>
    </w:p>
    <w:p>
      <w:pPr xmlns:w="http://schemas.openxmlformats.org/wordprocessingml/2006/main">
        <w:ind w:left="240" w:right="180" w:hanging="230"/>
        <w:spacing w:after="0" w:line="217" w:lineRule="auto"/>
        <w:tabs>
          <w:tab w:leader="none" w:pos="24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Αν η διαπραγμάτευση σε ένα Αμερικανικό χρηματιστήριο συμβολαίων μελλοντικής εκπλήρωσης καταστεί μη διαθέσιμη, οι επενδυτές μπορεί να μην είναι σε θέση να κλείσουν μια θέση συμβολαίων μελλοντικής εκπλήρωσης σε ένα εμπόρευμα εγκαίρως.</w:t>
      </w:r>
      <w:r>
        <w:rPr xmlns:w="http://schemas.openxmlformats.org/wordprocessingml/2006/main">
          <w:rFonts w:ascii="Calibri" w:cs="Calibri" w:eastAsia="Calibri" w:hAnsi="Calibri"/>
          <w:sz w:val="22"/>
          <w:szCs w:val="22"/>
          <w:color w:val="auto"/>
        </w:rPr>
        <w:t xml:space="preserve"> Ενδέχεται να υπάρξουν περιπτώσεις κατά τις οποίες οι προθεσμιακές τιμές δεν θα διατηρούν συνήθεις ή αναμενόμενες σχέσεις ως προς τις τιμές των υποκείμενων ή συναφών συμφερόντων.</w:t>
      </w:r>
    </w:p>
    <w:p>
      <w:pPr>
        <w:spacing w:after="0" w:line="1" w:lineRule="exact"/>
        <w:rPr>
          <w:rFonts w:ascii="Symbol" w:cs="Symbol" w:eastAsia="Symbol" w:hAnsi="Symbol"/>
          <w:sz w:val="22"/>
          <w:szCs w:val="22"/>
          <w:color w:val="auto"/>
        </w:rPr>
      </w:pPr>
    </w:p>
    <w:p>
      <w:pPr xmlns:w="http://schemas.openxmlformats.org/wordprocessingml/2006/main">
        <w:ind w:left="240" w:hanging="230"/>
        <w:spacing w:after="0"/>
        <w:tabs>
          <w:tab w:leader="none" w:pos="24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Η φορολογική νομοθεσία του κράτους μέλους καταγωγής του επενδυτή μπορεί να έχει αντίκτυπο στην απόδοση του επενδυτή.</w:t>
      </w:r>
    </w:p>
    <w:p>
      <w:pPr>
        <w:spacing w:after="0" w:line="74" w:lineRule="exact"/>
        <w:rPr>
          <w:rFonts w:ascii="Symbol" w:cs="Symbol" w:eastAsia="Symbol" w:hAnsi="Symbol"/>
          <w:sz w:val="22"/>
          <w:szCs w:val="22"/>
          <w:color w:val="auto"/>
        </w:rPr>
      </w:pPr>
    </w:p>
    <w:p>
      <w:pPr xmlns:w="http://schemas.openxmlformats.org/wordprocessingml/2006/main">
        <w:ind w:left="220" w:right="220" w:hanging="210"/>
        <w:spacing w:after="0" w:line="217" w:lineRule="auto"/>
        <w:tabs>
          <w:tab w:leader="none" w:pos="220" w:val="left"/>
        </w:tabs>
        <w:numPr>
          <w:ilvl w:val="0"/>
          <w:numId w:val="1"/>
        </w:numPr>
        <w:rPr>
          <w:rFonts w:ascii="Symbol" w:cs="Symbol" w:eastAsia="Symbol" w:hAnsi="Symbol"/>
          <w:sz w:val="16"/>
          <w:szCs w:val="16"/>
          <w:color w:val="auto"/>
        </w:rPr>
      </w:pPr>
      <w:r>
        <w:rPr xmlns:w="http://schemas.openxmlformats.org/wordprocessingml/2006/main">
          <w:rFonts w:ascii="Calibri" w:cs="Calibri" w:eastAsia="Calibri" w:hAnsi="Calibri"/>
          <w:sz w:val="22"/>
          <w:szCs w:val="22"/>
          <w:b w:val="1"/>
          <w:bCs w:val="1"/>
          <w:color w:val="auto"/>
        </w:rPr>
        <w:t xml:space="preserve">Να είστε ενήμεροι για τους συναλλαγματικούς κινδύνους.</w:t>
      </w:r>
      <w:r>
        <w:rPr xmlns:w="http://schemas.openxmlformats.org/wordprocessingml/2006/main">
          <w:rFonts w:ascii="Calibri" w:cs="Calibri" w:eastAsia="Calibri" w:hAnsi="Calibri"/>
          <w:sz w:val="22"/>
          <w:szCs w:val="22"/>
          <w:b w:val="1"/>
          <w:bCs w:val="1"/>
          <w:color w:val="auto"/>
        </w:rPr>
        <w:t xml:space="preserve"> Οποιαδήποτε πληρωμή σε μετρητά που σχετίζεται με τη διαπραγμάτευση ή την άσκηση των συμβολαίων μελλοντικής εκπλήρωσης επί εμπορευμάτων θα διακανονιστεί σε δολάρια ΗΠΑ, και κατά συνέπεια, τα αποτελέσματα των επενδύσεων μπορεί να αλλάξουν ανάλογα με τις νομισματικές διακυμάνσεις.</w:t>
      </w:r>
      <w:r>
        <w:rPr xmlns:w="http://schemas.openxmlformats.org/wordprocessingml/2006/main">
          <w:rFonts w:ascii="Calibri" w:cs="Calibri" w:eastAsia="Calibri" w:hAnsi="Calibri"/>
          <w:sz w:val="22"/>
          <w:szCs w:val="22"/>
          <w:b w:val="1"/>
          <w:bCs w:val="1"/>
          <w:color w:val="auto"/>
        </w:rPr>
        <w:t xml:space="preserve"> Ο κίνδυνος αυτός δεν λαμβάνεται υπόψη στον παραπάνω δείκτη.</w:t>
      </w:r>
    </w:p>
    <w:p>
      <w:pPr>
        <w:spacing w:after="0" w:line="343" w:lineRule="exact"/>
        <w:rPr>
          <w:sz w:val="20"/>
          <w:szCs w:val="20"/>
          <w:color w:val="auto"/>
        </w:rPr>
      </w:pPr>
    </w:p>
    <w:p>
      <w:pPr xmlns:w="http://schemas.openxmlformats.org/wordprocessingml/2006/main">
        <w:ind w:right="340"/>
        <w:spacing w:after="0" w:line="210"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Σενάρια επιδόσεων</w:t>
      </w:r>
      <w:r>
        <w:rPr xmlns:w="http://schemas.openxmlformats.org/wordprocessingml/2006/main">
          <w:rFonts w:ascii="Calibri" w:cs="Calibri" w:eastAsia="Calibri" w:hAnsi="Calibri"/>
          <w:sz w:val="22"/>
          <w:szCs w:val="22"/>
          <w:color w:val="auto"/>
        </w:rPr>
        <w:t xml:space="preserve"> (Τα παραδείγματα δεν περιλαμβάνουν το κόστος των προμηθειών, των φόρων και άλλων εξόδων συναλλαγών που μπορεί να επηρεάσουν την αξία μιας συναλλαγής και της θέσης συμβολαίων μελλοντικής εκπλήρωσης επί εμπορευμάτων).</w:t>
      </w:r>
    </w:p>
    <w:p>
      <w:pPr>
        <w:sectPr>
          <w:pgSz w:w="12240" w:h="15840" w:orient="portrait"/>
          <w:cols w:equalWidth="0" w:num="1">
            <w:col w:w="10520"/>
          </w:cols>
          <w:pgMar w:left="1080" w:top="706" w:right="640" w:bottom="457" w:gutter="0" w:footer="0" w:header="0"/>
        </w:sectPr>
      </w:pPr>
    </w:p>
    <w:p>
      <w:pPr>
        <w:spacing w:after="0" w:line="120" w:lineRule="exact"/>
        <w:rPr>
          <w:sz w:val="20"/>
          <w:szCs w:val="20"/>
          <w:color w:val="auto"/>
        </w:rPr>
      </w:pPr>
    </w:p>
    <w:tbl>
      <w:tblPr>
        <w:tblLayout w:type="fixed"/>
        <w:tblInd w:w="180" w:type="dxa"/>
        <w:tblCellMar>
          <w:top w:w="0" w:type="dxa"/>
          <w:left w:w="0" w:type="dxa"/>
          <w:bottom w:w="0" w:type="dxa"/>
          <w:right w:w="0" w:type="dxa"/>
        </w:tblCellMar>
      </w:tblPr>
      <w:tr>
        <w:trPr>
          <w:trHeight w:val="195"/>
        </w:trPr>
        <w:tc>
          <w:tcPr>
            <w:tcW w:w="720" w:type="dxa"/>
            <w:vAlign w:val="bottom"/>
            <w:gridSpan w:val="2"/>
            <w:vMerge w:val="restart"/>
          </w:tcPr>
          <w:p>
            <w:pPr xmlns:w="http://schemas.openxmlformats.org/wordprocessingml/2006/main">
              <w:jc w:val="right"/>
              <w:ind w:right="70"/>
              <w:spacing w:after="0"/>
              <w:rPr>
                <w:sz w:val="20"/>
                <w:szCs w:val="20"/>
                <w:color w:val="auto"/>
              </w:rPr>
            </w:pPr>
            <w:r>
              <w:rPr xmlns:w="http://schemas.openxmlformats.org/wordprocessingml/2006/main">
                <w:rFonts w:ascii="Calibri" w:cs="Calibri" w:eastAsia="Calibri" w:hAnsi="Calibri"/>
                <w:sz w:val="18"/>
                <w:szCs w:val="18"/>
                <w:color w:val="595959"/>
              </w:rPr>
              <w:t xml:space="preserve">1.000 $</w:t>
            </w:r>
          </w:p>
        </w:tc>
        <w:tc>
          <w:tcPr>
            <w:tcW w:w="480" w:type="dxa"/>
            <w:vAlign w:val="bottom"/>
            <w:tcBorders>
              <w:bottom w:val="single" w:sz="8" w:color="D9D9D9"/>
            </w:tcBorders>
          </w:tcPr>
          <w:p>
            <w:pPr>
              <w:spacing w:after="0"/>
              <w:rPr>
                <w:sz w:val="16"/>
                <w:szCs w:val="16"/>
                <w:color w:val="auto"/>
              </w:rPr>
            </w:pPr>
          </w:p>
        </w:tc>
        <w:tc>
          <w:tcPr>
            <w:tcW w:w="2300" w:type="dxa"/>
            <w:vAlign w:val="bottom"/>
            <w:tcBorders>
              <w:bottom w:val="single" w:sz="8" w:color="D9D9D9"/>
            </w:tcBorders>
            <w:gridSpan w:val="4"/>
          </w:tcPr>
          <w:p>
            <w:pPr xmlns:w="http://schemas.openxmlformats.org/wordprocessingml/2006/main">
              <w:jc w:val="right"/>
              <w:ind w:right="20"/>
              <w:spacing w:after="0"/>
              <w:rPr>
                <w:sz w:val="20"/>
                <w:szCs w:val="20"/>
                <w:color w:val="auto"/>
              </w:rPr>
            </w:pPr>
            <w:r>
              <w:rPr xmlns:w="http://schemas.openxmlformats.org/wordprocessingml/2006/main">
                <w:rFonts w:ascii="Calibri" w:cs="Calibri" w:eastAsia="Calibri" w:hAnsi="Calibri"/>
                <w:sz w:val="16"/>
                <w:szCs w:val="16"/>
                <w:color w:val="595959"/>
              </w:rPr>
              <w:t xml:space="preserve">P/L θέσης μακροπρόθεσμου συμβολαίου μελλοντικής εκπλήρωσης</w:t>
            </w:r>
          </w:p>
        </w:tc>
        <w:tc>
          <w:tcPr>
            <w:tcW w:w="180" w:type="dxa"/>
            <w:vAlign w:val="bottom"/>
            <w:tcBorders>
              <w:bottom w:val="single" w:sz="8" w:color="D9D9D9"/>
            </w:tcBorders>
          </w:tcPr>
          <w:p>
            <w:pPr>
              <w:spacing w:after="0"/>
              <w:rPr>
                <w:sz w:val="16"/>
                <w:szCs w:val="16"/>
                <w:color w:val="auto"/>
              </w:rPr>
            </w:pPr>
          </w:p>
        </w:tc>
        <w:tc>
          <w:tcPr>
            <w:tcW w:w="480" w:type="dxa"/>
            <w:vAlign w:val="bottom"/>
            <w:tcBorders>
              <w:bottom w:val="single" w:sz="8" w:color="D9D9D9"/>
            </w:tcBorders>
          </w:tcPr>
          <w:p>
            <w:pPr>
              <w:spacing w:after="0"/>
              <w:rPr>
                <w:sz w:val="16"/>
                <w:szCs w:val="16"/>
                <w:color w:val="auto"/>
              </w:rPr>
            </w:pPr>
          </w:p>
        </w:tc>
        <w:tc>
          <w:tcPr>
            <w:tcW w:w="500" w:type="dxa"/>
            <w:vAlign w:val="bottom"/>
            <w:tcBorders>
              <w:bottom w:val="single" w:sz="8" w:color="D9D9D9"/>
            </w:tcBorders>
          </w:tcPr>
          <w:p>
            <w:pPr>
              <w:spacing w:after="0"/>
              <w:rPr>
                <w:sz w:val="16"/>
                <w:szCs w:val="16"/>
                <w:color w:val="auto"/>
              </w:rPr>
            </w:pPr>
          </w:p>
        </w:tc>
        <w:tc>
          <w:tcPr>
            <w:tcW w:w="1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68"/>
        </w:trPr>
        <w:tc>
          <w:tcPr>
            <w:tcW w:w="720" w:type="dxa"/>
            <w:vAlign w:val="bottom"/>
            <w:gridSpan w:val="2"/>
            <w:vMerge w:val="continue"/>
          </w:tcPr>
          <w:p>
            <w:pPr>
              <w:spacing w:after="0"/>
              <w:rPr>
                <w:sz w:val="5"/>
                <w:szCs w:val="5"/>
                <w:color w:val="auto"/>
              </w:rPr>
            </w:pPr>
          </w:p>
        </w:tc>
        <w:tc>
          <w:tcPr>
            <w:tcW w:w="480" w:type="dxa"/>
            <w:vAlign w:val="bottom"/>
            <w:tcBorders>
              <w:left w:val="single" w:sz="8" w:color="BFBFBF"/>
            </w:tcBorders>
          </w:tcPr>
          <w:p>
            <w:pPr>
              <w:spacing w:after="0"/>
              <w:rPr>
                <w:sz w:val="5"/>
                <w:szCs w:val="5"/>
                <w:color w:val="auto"/>
              </w:rPr>
            </w:pPr>
          </w:p>
        </w:tc>
        <w:tc>
          <w:tcPr>
            <w:tcW w:w="520" w:type="dxa"/>
            <w:vAlign w:val="bottom"/>
            <w:tcBorders>
              <w:right w:val="single" w:sz="8" w:color="D9D9D9"/>
            </w:tcBorders>
          </w:tcPr>
          <w:p>
            <w:pPr>
              <w:spacing w:after="0"/>
              <w:rPr>
                <w:sz w:val="5"/>
                <w:szCs w:val="5"/>
                <w:color w:val="auto"/>
              </w:rPr>
            </w:pPr>
          </w:p>
        </w:tc>
        <w:tc>
          <w:tcPr>
            <w:tcW w:w="480" w:type="dxa"/>
            <w:vAlign w:val="bottom"/>
          </w:tcPr>
          <w:p>
            <w:pPr>
              <w:spacing w:after="0"/>
              <w:rPr>
                <w:sz w:val="5"/>
                <w:szCs w:val="5"/>
                <w:color w:val="auto"/>
              </w:rPr>
            </w:pPr>
          </w:p>
        </w:tc>
        <w:tc>
          <w:tcPr>
            <w:tcW w:w="500" w:type="dxa"/>
            <w:vAlign w:val="bottom"/>
            <w:tcBorders>
              <w:right w:val="single" w:sz="8" w:color="D9D9D9"/>
            </w:tcBorders>
          </w:tcPr>
          <w:p>
            <w:pPr>
              <w:spacing w:after="0"/>
              <w:rPr>
                <w:sz w:val="5"/>
                <w:szCs w:val="5"/>
                <w:color w:val="auto"/>
              </w:rPr>
            </w:pPr>
          </w:p>
        </w:tc>
        <w:tc>
          <w:tcPr>
            <w:tcW w:w="800" w:type="dxa"/>
            <w:vAlign w:val="bottom"/>
          </w:tcPr>
          <w:p>
            <w:pPr>
              <w:spacing w:after="0"/>
              <w:rPr>
                <w:sz w:val="5"/>
                <w:szCs w:val="5"/>
                <w:color w:val="auto"/>
              </w:rPr>
            </w:pPr>
          </w:p>
        </w:tc>
        <w:tc>
          <w:tcPr>
            <w:tcW w:w="180" w:type="dxa"/>
            <w:vAlign w:val="bottom"/>
            <w:tcBorders>
              <w:right w:val="single" w:sz="8" w:color="D9D9D9"/>
            </w:tcBorders>
          </w:tcPr>
          <w:p>
            <w:pPr>
              <w:spacing w:after="0"/>
              <w:rPr>
                <w:sz w:val="5"/>
                <w:szCs w:val="5"/>
                <w:color w:val="auto"/>
              </w:rPr>
            </w:pPr>
          </w:p>
        </w:tc>
        <w:tc>
          <w:tcPr>
            <w:tcW w:w="480" w:type="dxa"/>
            <w:vAlign w:val="bottom"/>
          </w:tcPr>
          <w:p>
            <w:pPr>
              <w:spacing w:after="0"/>
              <w:rPr>
                <w:sz w:val="5"/>
                <w:szCs w:val="5"/>
                <w:color w:val="auto"/>
              </w:rPr>
            </w:pPr>
          </w:p>
        </w:tc>
        <w:tc>
          <w:tcPr>
            <w:tcW w:w="500" w:type="dxa"/>
            <w:vAlign w:val="bottom"/>
            <w:tcBorders>
              <w:right w:val="single" w:sz="8" w:color="D9D9D9"/>
            </w:tcBorders>
          </w:tcPr>
          <w:p>
            <w:pPr>
              <w:spacing w:after="0"/>
              <w:rPr>
                <w:sz w:val="5"/>
                <w:szCs w:val="5"/>
                <w:color w:val="auto"/>
              </w:rPr>
            </w:pPr>
          </w:p>
        </w:tc>
        <w:tc>
          <w:tcPr>
            <w:tcW w:w="1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44"/>
        </w:trPr>
        <w:tc>
          <w:tcPr>
            <w:tcW w:w="180" w:type="dxa"/>
            <w:vAlign w:val="bottom"/>
            <w:vMerge w:val="restart"/>
            <w:textDirection w:val="btLr"/>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595959"/>
              </w:rPr>
              <w:t xml:space="preserve">P/L</w:t>
            </w:r>
          </w:p>
        </w:tc>
        <w:tc>
          <w:tcPr>
            <w:tcW w:w="540" w:type="dxa"/>
            <w:vAlign w:val="bottom"/>
            <w:vMerge w:val="restart"/>
          </w:tcPr>
          <w:p>
            <w:pPr xmlns:w="http://schemas.openxmlformats.org/wordprocessingml/2006/main">
              <w:jc w:val="right"/>
              <w:ind w:right="70"/>
              <w:spacing w:after="0"/>
              <w:rPr>
                <w:sz w:val="20"/>
                <w:szCs w:val="20"/>
                <w:color w:val="auto"/>
              </w:rPr>
            </w:pPr>
            <w:r>
              <w:rPr xmlns:w="http://schemas.openxmlformats.org/wordprocessingml/2006/main">
                <w:rFonts w:ascii="Calibri" w:cs="Calibri" w:eastAsia="Calibri" w:hAnsi="Calibri"/>
                <w:sz w:val="18"/>
                <w:szCs w:val="18"/>
                <w:color w:val="595959"/>
                <w:w w:val="98"/>
              </w:rPr>
              <w:t xml:space="preserve">500 $</w:t>
            </w:r>
          </w:p>
        </w:tc>
        <w:tc>
          <w:tcPr>
            <w:tcW w:w="480" w:type="dxa"/>
            <w:vAlign w:val="bottom"/>
            <w:tcBorders>
              <w:left w:val="single" w:sz="8" w:color="BFBFBF"/>
              <w:bottom w:val="single" w:sz="8" w:color="D9D9D9"/>
            </w:tcBorders>
          </w:tcPr>
          <w:p>
            <w:pPr>
              <w:spacing w:after="0"/>
              <w:rPr>
                <w:sz w:val="21"/>
                <w:szCs w:val="21"/>
                <w:color w:val="auto"/>
              </w:rPr>
            </w:pPr>
          </w:p>
        </w:tc>
        <w:tc>
          <w:tcPr>
            <w:tcW w:w="520" w:type="dxa"/>
            <w:vAlign w:val="bottom"/>
            <w:tcBorders>
              <w:bottom w:val="single" w:sz="8" w:color="D9D9D9"/>
              <w:right w:val="single" w:sz="8" w:color="D9D9D9"/>
            </w:tcBorders>
          </w:tcPr>
          <w:p>
            <w:pPr>
              <w:spacing w:after="0"/>
              <w:rPr>
                <w:sz w:val="21"/>
                <w:szCs w:val="21"/>
                <w:color w:val="auto"/>
              </w:rPr>
            </w:pPr>
          </w:p>
        </w:tc>
        <w:tc>
          <w:tcPr>
            <w:tcW w:w="480" w:type="dxa"/>
            <w:vAlign w:val="bottom"/>
            <w:tcBorders>
              <w:bottom w:val="single" w:sz="8" w:color="D9D9D9"/>
            </w:tcBorders>
          </w:tcPr>
          <w:p>
            <w:pPr>
              <w:spacing w:after="0"/>
              <w:rPr>
                <w:sz w:val="21"/>
                <w:szCs w:val="21"/>
                <w:color w:val="auto"/>
              </w:rPr>
            </w:pPr>
          </w:p>
        </w:tc>
        <w:tc>
          <w:tcPr>
            <w:tcW w:w="500" w:type="dxa"/>
            <w:vAlign w:val="bottom"/>
            <w:tcBorders>
              <w:bottom w:val="single" w:sz="8" w:color="D9D9D9"/>
              <w:right w:val="single" w:sz="8" w:color="D9D9D9"/>
            </w:tcBorders>
          </w:tcPr>
          <w:p>
            <w:pPr>
              <w:spacing w:after="0"/>
              <w:rPr>
                <w:sz w:val="21"/>
                <w:szCs w:val="21"/>
                <w:color w:val="auto"/>
              </w:rPr>
            </w:pPr>
          </w:p>
        </w:tc>
        <w:tc>
          <w:tcPr>
            <w:tcW w:w="800" w:type="dxa"/>
            <w:vAlign w:val="bottom"/>
            <w:tcBorders>
              <w:bottom w:val="single" w:sz="8" w:color="D9D9D9"/>
            </w:tcBorders>
          </w:tcPr>
          <w:p>
            <w:pPr>
              <w:spacing w:after="0"/>
              <w:rPr>
                <w:sz w:val="21"/>
                <w:szCs w:val="21"/>
                <w:color w:val="auto"/>
              </w:rPr>
            </w:pPr>
          </w:p>
        </w:tc>
        <w:tc>
          <w:tcPr>
            <w:tcW w:w="180" w:type="dxa"/>
            <w:vAlign w:val="bottom"/>
            <w:tcBorders>
              <w:bottom w:val="single" w:sz="8" w:color="D9D9D9"/>
              <w:right w:val="single" w:sz="8" w:color="D9D9D9"/>
            </w:tcBorders>
          </w:tcPr>
          <w:p>
            <w:pPr>
              <w:spacing w:after="0"/>
              <w:rPr>
                <w:sz w:val="21"/>
                <w:szCs w:val="21"/>
                <w:color w:val="auto"/>
              </w:rPr>
            </w:pPr>
          </w:p>
        </w:tc>
        <w:tc>
          <w:tcPr>
            <w:tcW w:w="480" w:type="dxa"/>
            <w:vAlign w:val="bottom"/>
            <w:tcBorders>
              <w:bottom w:val="single" w:sz="8" w:color="D9D9D9"/>
            </w:tcBorders>
          </w:tcPr>
          <w:p>
            <w:pPr>
              <w:spacing w:after="0"/>
              <w:rPr>
                <w:sz w:val="21"/>
                <w:szCs w:val="21"/>
                <w:color w:val="auto"/>
              </w:rPr>
            </w:pPr>
          </w:p>
        </w:tc>
        <w:tc>
          <w:tcPr>
            <w:tcW w:w="500" w:type="dxa"/>
            <w:vAlign w:val="bottom"/>
            <w:tcBorders>
              <w:bottom w:val="single" w:sz="8" w:color="D9D9D9"/>
              <w:right w:val="single" w:sz="8" w:color="D9D9D9"/>
            </w:tcBorders>
          </w:tcPr>
          <w:p>
            <w:pPr>
              <w:spacing w:after="0"/>
              <w:rPr>
                <w:sz w:val="21"/>
                <w:szCs w:val="21"/>
                <w:color w:val="auto"/>
              </w:rPr>
            </w:pPr>
          </w:p>
        </w:tc>
        <w:tc>
          <w:tcPr>
            <w:tcW w:w="16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72"/>
        </w:trPr>
        <w:tc>
          <w:tcPr>
            <w:tcW w:w="180" w:type="dxa"/>
            <w:vAlign w:val="bottom"/>
            <w:vMerge w:val="continue"/>
          </w:tcPr>
          <w:p>
            <w:pPr>
              <w:spacing w:after="0"/>
              <w:rPr>
                <w:sz w:val="6"/>
                <w:szCs w:val="6"/>
                <w:color w:val="auto"/>
              </w:rPr>
            </w:pPr>
          </w:p>
        </w:tc>
        <w:tc>
          <w:tcPr>
            <w:tcW w:w="540" w:type="dxa"/>
            <w:vAlign w:val="bottom"/>
            <w:vMerge w:val="continue"/>
          </w:tcPr>
          <w:p>
            <w:pPr>
              <w:spacing w:after="0"/>
              <w:rPr>
                <w:sz w:val="6"/>
                <w:szCs w:val="6"/>
                <w:color w:val="auto"/>
              </w:rPr>
            </w:pPr>
          </w:p>
        </w:tc>
        <w:tc>
          <w:tcPr>
            <w:tcW w:w="480" w:type="dxa"/>
            <w:vAlign w:val="bottom"/>
            <w:tcBorders>
              <w:left w:val="single" w:sz="8" w:color="BFBFBF"/>
            </w:tcBorders>
          </w:tcPr>
          <w:p>
            <w:pPr>
              <w:spacing w:after="0"/>
              <w:rPr>
                <w:sz w:val="6"/>
                <w:szCs w:val="6"/>
                <w:color w:val="auto"/>
              </w:rPr>
            </w:pPr>
          </w:p>
        </w:tc>
        <w:tc>
          <w:tcPr>
            <w:tcW w:w="520" w:type="dxa"/>
            <w:vAlign w:val="bottom"/>
            <w:tcBorders>
              <w:right w:val="single" w:sz="8" w:color="D9D9D9"/>
            </w:tcBorders>
          </w:tcPr>
          <w:p>
            <w:pPr>
              <w:spacing w:after="0"/>
              <w:rPr>
                <w:sz w:val="6"/>
                <w:szCs w:val="6"/>
                <w:color w:val="auto"/>
              </w:rPr>
            </w:pPr>
          </w:p>
        </w:tc>
        <w:tc>
          <w:tcPr>
            <w:tcW w:w="480" w:type="dxa"/>
            <w:vAlign w:val="bottom"/>
          </w:tcPr>
          <w:p>
            <w:pPr>
              <w:spacing w:after="0"/>
              <w:rPr>
                <w:sz w:val="6"/>
                <w:szCs w:val="6"/>
                <w:color w:val="auto"/>
              </w:rPr>
            </w:pPr>
          </w:p>
        </w:tc>
        <w:tc>
          <w:tcPr>
            <w:tcW w:w="500" w:type="dxa"/>
            <w:vAlign w:val="bottom"/>
            <w:tcBorders>
              <w:right w:val="single" w:sz="8" w:color="D9D9D9"/>
            </w:tcBorders>
          </w:tcPr>
          <w:p>
            <w:pPr>
              <w:spacing w:after="0"/>
              <w:rPr>
                <w:sz w:val="6"/>
                <w:szCs w:val="6"/>
                <w:color w:val="auto"/>
              </w:rPr>
            </w:pPr>
          </w:p>
        </w:tc>
        <w:tc>
          <w:tcPr>
            <w:tcW w:w="800" w:type="dxa"/>
            <w:vAlign w:val="bottom"/>
          </w:tcPr>
          <w:p>
            <w:pPr>
              <w:spacing w:after="0"/>
              <w:rPr>
                <w:sz w:val="6"/>
                <w:szCs w:val="6"/>
                <w:color w:val="auto"/>
              </w:rPr>
            </w:pPr>
          </w:p>
        </w:tc>
        <w:tc>
          <w:tcPr>
            <w:tcW w:w="180" w:type="dxa"/>
            <w:vAlign w:val="bottom"/>
            <w:tcBorders>
              <w:right w:val="single" w:sz="8" w:color="D9D9D9"/>
            </w:tcBorders>
          </w:tcPr>
          <w:p>
            <w:pPr>
              <w:spacing w:after="0"/>
              <w:rPr>
                <w:sz w:val="6"/>
                <w:szCs w:val="6"/>
                <w:color w:val="auto"/>
              </w:rPr>
            </w:pPr>
          </w:p>
        </w:tc>
        <w:tc>
          <w:tcPr>
            <w:tcW w:w="480" w:type="dxa"/>
            <w:vAlign w:val="bottom"/>
          </w:tcPr>
          <w:p>
            <w:pPr>
              <w:spacing w:after="0"/>
              <w:rPr>
                <w:sz w:val="6"/>
                <w:szCs w:val="6"/>
                <w:color w:val="auto"/>
              </w:rPr>
            </w:pPr>
          </w:p>
        </w:tc>
        <w:tc>
          <w:tcPr>
            <w:tcW w:w="500" w:type="dxa"/>
            <w:vAlign w:val="bottom"/>
            <w:tcBorders>
              <w:right w:val="single" w:sz="8" w:color="D9D9D9"/>
            </w:tcBorders>
          </w:tcPr>
          <w:p>
            <w:pPr>
              <w:spacing w:after="0"/>
              <w:rPr>
                <w:sz w:val="6"/>
                <w:szCs w:val="6"/>
                <w:color w:val="auto"/>
              </w:rPr>
            </w:pPr>
          </w:p>
        </w:tc>
        <w:tc>
          <w:tcPr>
            <w:tcW w:w="1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44"/>
        </w:trPr>
        <w:tc>
          <w:tcPr>
            <w:tcW w:w="180" w:type="dxa"/>
            <w:vAlign w:val="bottom"/>
            <w:vMerge w:val="continue"/>
          </w:tcPr>
          <w:p>
            <w:pPr>
              <w:spacing w:after="0"/>
              <w:rPr>
                <w:sz w:val="21"/>
                <w:szCs w:val="21"/>
                <w:color w:val="auto"/>
              </w:rPr>
            </w:pPr>
          </w:p>
        </w:tc>
        <w:tc>
          <w:tcPr>
            <w:tcW w:w="540" w:type="dxa"/>
            <w:vAlign w:val="bottom"/>
            <w:vMerge w:val="restart"/>
          </w:tcPr>
          <w:p>
            <w:pPr xmlns:w="http://schemas.openxmlformats.org/wordprocessingml/2006/main">
              <w:jc w:val="right"/>
              <w:ind w:right="70"/>
              <w:spacing w:after="0"/>
              <w:rPr>
                <w:sz w:val="20"/>
                <w:szCs w:val="20"/>
                <w:color w:val="auto"/>
              </w:rPr>
            </w:pPr>
            <w:r>
              <w:rPr xmlns:w="http://schemas.openxmlformats.org/wordprocessingml/2006/main">
                <w:rFonts w:ascii="Calibri" w:cs="Calibri" w:eastAsia="Calibri" w:hAnsi="Calibri"/>
                <w:sz w:val="18"/>
                <w:szCs w:val="18"/>
                <w:color w:val="595959"/>
              </w:rPr>
              <w:t xml:space="preserve">0 $</w:t>
            </w:r>
          </w:p>
        </w:tc>
        <w:tc>
          <w:tcPr>
            <w:tcW w:w="480" w:type="dxa"/>
            <w:vAlign w:val="bottom"/>
            <w:tcBorders>
              <w:left w:val="single" w:sz="8" w:color="BFBFBF"/>
              <w:bottom w:val="single" w:sz="8" w:color="BFBFBF"/>
            </w:tcBorders>
          </w:tcPr>
          <w:p>
            <w:pPr>
              <w:spacing w:after="0"/>
              <w:rPr>
                <w:sz w:val="21"/>
                <w:szCs w:val="21"/>
                <w:color w:val="auto"/>
              </w:rPr>
            </w:pPr>
          </w:p>
        </w:tc>
        <w:tc>
          <w:tcPr>
            <w:tcW w:w="520" w:type="dxa"/>
            <w:vAlign w:val="bottom"/>
            <w:tcBorders>
              <w:bottom w:val="single" w:sz="8" w:color="BFBFBF"/>
              <w:right w:val="single" w:sz="8" w:color="D9D9D9"/>
            </w:tcBorders>
          </w:tcPr>
          <w:p>
            <w:pPr>
              <w:spacing w:after="0"/>
              <w:rPr>
                <w:sz w:val="21"/>
                <w:szCs w:val="21"/>
                <w:color w:val="auto"/>
              </w:rPr>
            </w:pPr>
          </w:p>
        </w:tc>
        <w:tc>
          <w:tcPr>
            <w:tcW w:w="480" w:type="dxa"/>
            <w:vAlign w:val="bottom"/>
            <w:tcBorders>
              <w:bottom w:val="single" w:sz="8" w:color="BFBFBF"/>
            </w:tcBorders>
          </w:tcPr>
          <w:p>
            <w:pPr>
              <w:spacing w:after="0"/>
              <w:rPr>
                <w:sz w:val="21"/>
                <w:szCs w:val="21"/>
                <w:color w:val="auto"/>
              </w:rPr>
            </w:pPr>
          </w:p>
        </w:tc>
        <w:tc>
          <w:tcPr>
            <w:tcW w:w="500" w:type="dxa"/>
            <w:vAlign w:val="bottom"/>
            <w:tcBorders>
              <w:bottom w:val="single" w:sz="8" w:color="BFBFBF"/>
              <w:right w:val="single" w:sz="8" w:color="D9D9D9"/>
            </w:tcBorders>
          </w:tcPr>
          <w:p>
            <w:pPr>
              <w:spacing w:after="0"/>
              <w:rPr>
                <w:sz w:val="21"/>
                <w:szCs w:val="21"/>
                <w:color w:val="auto"/>
              </w:rPr>
            </w:pPr>
          </w:p>
        </w:tc>
        <w:tc>
          <w:tcPr>
            <w:tcW w:w="800" w:type="dxa"/>
            <w:vAlign w:val="bottom"/>
            <w:tcBorders>
              <w:bottom w:val="single" w:sz="8" w:color="BFBFBF"/>
            </w:tcBorders>
          </w:tcPr>
          <w:p>
            <w:pPr>
              <w:spacing w:after="0"/>
              <w:rPr>
                <w:sz w:val="21"/>
                <w:szCs w:val="21"/>
                <w:color w:val="auto"/>
              </w:rPr>
            </w:pPr>
          </w:p>
        </w:tc>
        <w:tc>
          <w:tcPr>
            <w:tcW w:w="180" w:type="dxa"/>
            <w:vAlign w:val="bottom"/>
            <w:tcBorders>
              <w:bottom w:val="single" w:sz="8" w:color="BFBFBF"/>
              <w:right w:val="single" w:sz="8" w:color="D9D9D9"/>
            </w:tcBorders>
          </w:tcPr>
          <w:p>
            <w:pPr>
              <w:spacing w:after="0"/>
              <w:rPr>
                <w:sz w:val="21"/>
                <w:szCs w:val="21"/>
                <w:color w:val="auto"/>
              </w:rPr>
            </w:pPr>
          </w:p>
        </w:tc>
        <w:tc>
          <w:tcPr>
            <w:tcW w:w="480" w:type="dxa"/>
            <w:vAlign w:val="bottom"/>
            <w:tcBorders>
              <w:bottom w:val="single" w:sz="8" w:color="BFBFBF"/>
            </w:tcBorders>
          </w:tcPr>
          <w:p>
            <w:pPr>
              <w:spacing w:after="0"/>
              <w:rPr>
                <w:sz w:val="21"/>
                <w:szCs w:val="21"/>
                <w:color w:val="auto"/>
              </w:rPr>
            </w:pPr>
          </w:p>
        </w:tc>
        <w:tc>
          <w:tcPr>
            <w:tcW w:w="500" w:type="dxa"/>
            <w:vAlign w:val="bottom"/>
            <w:tcBorders>
              <w:bottom w:val="single" w:sz="8" w:color="BFBFBF"/>
              <w:right w:val="single" w:sz="8" w:color="D9D9D9"/>
            </w:tcBorders>
          </w:tcPr>
          <w:p>
            <w:pPr>
              <w:spacing w:after="0"/>
              <w:rPr>
                <w:sz w:val="21"/>
                <w:szCs w:val="21"/>
                <w:color w:val="auto"/>
              </w:rPr>
            </w:pPr>
          </w:p>
        </w:tc>
        <w:tc>
          <w:tcPr>
            <w:tcW w:w="16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70"/>
        </w:trPr>
        <w:tc>
          <w:tcPr>
            <w:tcW w:w="180" w:type="dxa"/>
            <w:vAlign w:val="bottom"/>
          </w:tcPr>
          <w:p>
            <w:pPr>
              <w:spacing w:after="0"/>
              <w:rPr>
                <w:sz w:val="6"/>
                <w:szCs w:val="6"/>
                <w:color w:val="auto"/>
              </w:rPr>
            </w:pPr>
          </w:p>
        </w:tc>
        <w:tc>
          <w:tcPr>
            <w:tcW w:w="540" w:type="dxa"/>
            <w:vAlign w:val="bottom"/>
            <w:vMerge w:val="continue"/>
          </w:tcPr>
          <w:p>
            <w:pPr>
              <w:spacing w:after="0"/>
              <w:rPr>
                <w:sz w:val="6"/>
                <w:szCs w:val="6"/>
                <w:color w:val="auto"/>
              </w:rPr>
            </w:pPr>
          </w:p>
        </w:tc>
        <w:tc>
          <w:tcPr>
            <w:tcW w:w="480" w:type="dxa"/>
            <w:vAlign w:val="bottom"/>
            <w:tcBorders>
              <w:left w:val="single" w:sz="8" w:color="BFBFBF"/>
            </w:tcBorders>
          </w:tcPr>
          <w:p>
            <w:pPr>
              <w:spacing w:after="0"/>
              <w:rPr>
                <w:sz w:val="6"/>
                <w:szCs w:val="6"/>
                <w:color w:val="auto"/>
              </w:rPr>
            </w:pPr>
          </w:p>
        </w:tc>
        <w:tc>
          <w:tcPr>
            <w:tcW w:w="520" w:type="dxa"/>
            <w:vAlign w:val="bottom"/>
            <w:tcBorders>
              <w:right w:val="single" w:sz="8" w:color="D9D9D9"/>
            </w:tcBorders>
          </w:tcPr>
          <w:p>
            <w:pPr>
              <w:spacing w:after="0"/>
              <w:rPr>
                <w:sz w:val="6"/>
                <w:szCs w:val="6"/>
                <w:color w:val="auto"/>
              </w:rPr>
            </w:pPr>
          </w:p>
        </w:tc>
        <w:tc>
          <w:tcPr>
            <w:tcW w:w="480" w:type="dxa"/>
            <w:vAlign w:val="bottom"/>
          </w:tcPr>
          <w:p>
            <w:pPr>
              <w:spacing w:after="0"/>
              <w:rPr>
                <w:sz w:val="6"/>
                <w:szCs w:val="6"/>
                <w:color w:val="auto"/>
              </w:rPr>
            </w:pPr>
          </w:p>
        </w:tc>
        <w:tc>
          <w:tcPr>
            <w:tcW w:w="500" w:type="dxa"/>
            <w:vAlign w:val="bottom"/>
            <w:tcBorders>
              <w:right w:val="single" w:sz="8" w:color="D9D9D9"/>
            </w:tcBorders>
          </w:tcPr>
          <w:p>
            <w:pPr>
              <w:spacing w:after="0"/>
              <w:rPr>
                <w:sz w:val="6"/>
                <w:szCs w:val="6"/>
                <w:color w:val="auto"/>
              </w:rPr>
            </w:pPr>
          </w:p>
        </w:tc>
        <w:tc>
          <w:tcPr>
            <w:tcW w:w="800" w:type="dxa"/>
            <w:vAlign w:val="bottom"/>
          </w:tcPr>
          <w:p>
            <w:pPr>
              <w:spacing w:after="0"/>
              <w:rPr>
                <w:sz w:val="6"/>
                <w:szCs w:val="6"/>
                <w:color w:val="auto"/>
              </w:rPr>
            </w:pPr>
          </w:p>
        </w:tc>
        <w:tc>
          <w:tcPr>
            <w:tcW w:w="180" w:type="dxa"/>
            <w:vAlign w:val="bottom"/>
            <w:tcBorders>
              <w:right w:val="single" w:sz="8" w:color="D9D9D9"/>
            </w:tcBorders>
          </w:tcPr>
          <w:p>
            <w:pPr>
              <w:spacing w:after="0"/>
              <w:rPr>
                <w:sz w:val="6"/>
                <w:szCs w:val="6"/>
                <w:color w:val="auto"/>
              </w:rPr>
            </w:pPr>
          </w:p>
        </w:tc>
        <w:tc>
          <w:tcPr>
            <w:tcW w:w="480" w:type="dxa"/>
            <w:vAlign w:val="bottom"/>
          </w:tcPr>
          <w:p>
            <w:pPr>
              <w:spacing w:after="0"/>
              <w:rPr>
                <w:sz w:val="6"/>
                <w:szCs w:val="6"/>
                <w:color w:val="auto"/>
              </w:rPr>
            </w:pPr>
          </w:p>
        </w:tc>
        <w:tc>
          <w:tcPr>
            <w:tcW w:w="500" w:type="dxa"/>
            <w:vAlign w:val="bottom"/>
            <w:tcBorders>
              <w:right w:val="single" w:sz="8" w:color="D9D9D9"/>
            </w:tcBorders>
          </w:tcPr>
          <w:p>
            <w:pPr>
              <w:spacing w:after="0"/>
              <w:rPr>
                <w:sz w:val="6"/>
                <w:szCs w:val="6"/>
                <w:color w:val="auto"/>
              </w:rPr>
            </w:pPr>
          </w:p>
        </w:tc>
        <w:tc>
          <w:tcPr>
            <w:tcW w:w="1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44"/>
        </w:trPr>
        <w:tc>
          <w:tcPr>
            <w:tcW w:w="720" w:type="dxa"/>
            <w:vAlign w:val="bottom"/>
            <w:gridSpan w:val="2"/>
            <w:vMerge w:val="restart"/>
          </w:tcPr>
          <w:p>
            <w:pPr xmlns:w="http://schemas.openxmlformats.org/wordprocessingml/2006/main">
              <w:jc w:val="right"/>
              <w:ind w:right="70"/>
              <w:spacing w:after="0"/>
              <w:rPr>
                <w:sz w:val="20"/>
                <w:szCs w:val="20"/>
                <w:color w:val="auto"/>
              </w:rPr>
            </w:pPr>
            <w:r>
              <w:rPr xmlns:w="http://schemas.openxmlformats.org/wordprocessingml/2006/main">
                <w:rFonts w:ascii="Calibri" w:cs="Calibri" w:eastAsia="Calibri" w:hAnsi="Calibri"/>
                <w:sz w:val="18"/>
                <w:szCs w:val="18"/>
                <w:color w:val="595959"/>
              </w:rPr>
              <w:t xml:space="preserve">-500 $</w:t>
            </w:r>
          </w:p>
        </w:tc>
        <w:tc>
          <w:tcPr>
            <w:tcW w:w="480" w:type="dxa"/>
            <w:vAlign w:val="bottom"/>
            <w:tcBorders>
              <w:left w:val="single" w:sz="8" w:color="BFBFBF"/>
              <w:bottom w:val="single" w:sz="8" w:color="D9D9D9"/>
            </w:tcBorders>
          </w:tcPr>
          <w:p>
            <w:pPr>
              <w:spacing w:after="0"/>
              <w:rPr>
                <w:sz w:val="21"/>
                <w:szCs w:val="21"/>
                <w:color w:val="auto"/>
              </w:rPr>
            </w:pPr>
          </w:p>
        </w:tc>
        <w:tc>
          <w:tcPr>
            <w:tcW w:w="520" w:type="dxa"/>
            <w:vAlign w:val="bottom"/>
            <w:tcBorders>
              <w:bottom w:val="single" w:sz="8" w:color="D9D9D9"/>
              <w:right w:val="single" w:sz="8" w:color="D9D9D9"/>
            </w:tcBorders>
          </w:tcPr>
          <w:p>
            <w:pPr>
              <w:spacing w:after="0"/>
              <w:rPr>
                <w:sz w:val="21"/>
                <w:szCs w:val="21"/>
                <w:color w:val="auto"/>
              </w:rPr>
            </w:pPr>
          </w:p>
        </w:tc>
        <w:tc>
          <w:tcPr>
            <w:tcW w:w="480" w:type="dxa"/>
            <w:vAlign w:val="bottom"/>
            <w:tcBorders>
              <w:bottom w:val="single" w:sz="8" w:color="D9D9D9"/>
            </w:tcBorders>
          </w:tcPr>
          <w:p>
            <w:pPr>
              <w:spacing w:after="0"/>
              <w:rPr>
                <w:sz w:val="21"/>
                <w:szCs w:val="21"/>
                <w:color w:val="auto"/>
              </w:rPr>
            </w:pPr>
          </w:p>
        </w:tc>
        <w:tc>
          <w:tcPr>
            <w:tcW w:w="500" w:type="dxa"/>
            <w:vAlign w:val="bottom"/>
            <w:tcBorders>
              <w:bottom w:val="single" w:sz="8" w:color="D9D9D9"/>
              <w:right w:val="single" w:sz="8" w:color="D9D9D9"/>
            </w:tcBorders>
          </w:tcPr>
          <w:p>
            <w:pPr>
              <w:spacing w:after="0"/>
              <w:rPr>
                <w:sz w:val="21"/>
                <w:szCs w:val="21"/>
                <w:color w:val="auto"/>
              </w:rPr>
            </w:pPr>
          </w:p>
        </w:tc>
        <w:tc>
          <w:tcPr>
            <w:tcW w:w="800" w:type="dxa"/>
            <w:vAlign w:val="bottom"/>
            <w:tcBorders>
              <w:bottom w:val="single" w:sz="8" w:color="D9D9D9"/>
            </w:tcBorders>
          </w:tcPr>
          <w:p>
            <w:pPr>
              <w:spacing w:after="0"/>
              <w:rPr>
                <w:sz w:val="21"/>
                <w:szCs w:val="21"/>
                <w:color w:val="auto"/>
              </w:rPr>
            </w:pPr>
          </w:p>
        </w:tc>
        <w:tc>
          <w:tcPr>
            <w:tcW w:w="180" w:type="dxa"/>
            <w:vAlign w:val="bottom"/>
            <w:tcBorders>
              <w:bottom w:val="single" w:sz="8" w:color="D9D9D9"/>
              <w:right w:val="single" w:sz="8" w:color="D9D9D9"/>
            </w:tcBorders>
          </w:tcPr>
          <w:p>
            <w:pPr>
              <w:spacing w:after="0"/>
              <w:rPr>
                <w:sz w:val="21"/>
                <w:szCs w:val="21"/>
                <w:color w:val="auto"/>
              </w:rPr>
            </w:pPr>
          </w:p>
        </w:tc>
        <w:tc>
          <w:tcPr>
            <w:tcW w:w="480" w:type="dxa"/>
            <w:vAlign w:val="bottom"/>
            <w:tcBorders>
              <w:bottom w:val="single" w:sz="8" w:color="D9D9D9"/>
            </w:tcBorders>
          </w:tcPr>
          <w:p>
            <w:pPr>
              <w:spacing w:after="0"/>
              <w:rPr>
                <w:sz w:val="21"/>
                <w:szCs w:val="21"/>
                <w:color w:val="auto"/>
              </w:rPr>
            </w:pPr>
          </w:p>
        </w:tc>
        <w:tc>
          <w:tcPr>
            <w:tcW w:w="500" w:type="dxa"/>
            <w:vAlign w:val="bottom"/>
            <w:tcBorders>
              <w:bottom w:val="single" w:sz="8" w:color="D9D9D9"/>
              <w:right w:val="single" w:sz="8" w:color="D9D9D9"/>
            </w:tcBorders>
          </w:tcPr>
          <w:p>
            <w:pPr>
              <w:spacing w:after="0"/>
              <w:rPr>
                <w:sz w:val="21"/>
                <w:szCs w:val="21"/>
                <w:color w:val="auto"/>
              </w:rPr>
            </w:pPr>
          </w:p>
        </w:tc>
        <w:tc>
          <w:tcPr>
            <w:tcW w:w="16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70"/>
        </w:trPr>
        <w:tc>
          <w:tcPr>
            <w:tcW w:w="720" w:type="dxa"/>
            <w:vAlign w:val="bottom"/>
            <w:gridSpan w:val="2"/>
            <w:vMerge w:val="continue"/>
          </w:tcPr>
          <w:p>
            <w:pPr>
              <w:spacing w:after="0"/>
              <w:rPr>
                <w:sz w:val="6"/>
                <w:szCs w:val="6"/>
                <w:color w:val="auto"/>
              </w:rPr>
            </w:pPr>
          </w:p>
        </w:tc>
        <w:tc>
          <w:tcPr>
            <w:tcW w:w="480" w:type="dxa"/>
            <w:vAlign w:val="bottom"/>
            <w:tcBorders>
              <w:left w:val="single" w:sz="8" w:color="BFBFBF"/>
            </w:tcBorders>
          </w:tcPr>
          <w:p>
            <w:pPr>
              <w:spacing w:after="0"/>
              <w:rPr>
                <w:sz w:val="6"/>
                <w:szCs w:val="6"/>
                <w:color w:val="auto"/>
              </w:rPr>
            </w:pPr>
          </w:p>
        </w:tc>
        <w:tc>
          <w:tcPr>
            <w:tcW w:w="520" w:type="dxa"/>
            <w:vAlign w:val="bottom"/>
            <w:tcBorders>
              <w:right w:val="single" w:sz="8" w:color="D9D9D9"/>
            </w:tcBorders>
          </w:tcPr>
          <w:p>
            <w:pPr>
              <w:spacing w:after="0"/>
              <w:rPr>
                <w:sz w:val="6"/>
                <w:szCs w:val="6"/>
                <w:color w:val="auto"/>
              </w:rPr>
            </w:pPr>
          </w:p>
        </w:tc>
        <w:tc>
          <w:tcPr>
            <w:tcW w:w="480" w:type="dxa"/>
            <w:vAlign w:val="bottom"/>
          </w:tcPr>
          <w:p>
            <w:pPr>
              <w:spacing w:after="0"/>
              <w:rPr>
                <w:sz w:val="6"/>
                <w:szCs w:val="6"/>
                <w:color w:val="auto"/>
              </w:rPr>
            </w:pPr>
          </w:p>
        </w:tc>
        <w:tc>
          <w:tcPr>
            <w:tcW w:w="500" w:type="dxa"/>
            <w:vAlign w:val="bottom"/>
            <w:tcBorders>
              <w:right w:val="single" w:sz="8" w:color="D9D9D9"/>
            </w:tcBorders>
          </w:tcPr>
          <w:p>
            <w:pPr>
              <w:spacing w:after="0"/>
              <w:rPr>
                <w:sz w:val="6"/>
                <w:szCs w:val="6"/>
                <w:color w:val="auto"/>
              </w:rPr>
            </w:pPr>
          </w:p>
        </w:tc>
        <w:tc>
          <w:tcPr>
            <w:tcW w:w="800" w:type="dxa"/>
            <w:vAlign w:val="bottom"/>
          </w:tcPr>
          <w:p>
            <w:pPr>
              <w:spacing w:after="0"/>
              <w:rPr>
                <w:sz w:val="6"/>
                <w:szCs w:val="6"/>
                <w:color w:val="auto"/>
              </w:rPr>
            </w:pPr>
          </w:p>
        </w:tc>
        <w:tc>
          <w:tcPr>
            <w:tcW w:w="180" w:type="dxa"/>
            <w:vAlign w:val="bottom"/>
            <w:tcBorders>
              <w:right w:val="single" w:sz="8" w:color="D9D9D9"/>
            </w:tcBorders>
          </w:tcPr>
          <w:p>
            <w:pPr>
              <w:spacing w:after="0"/>
              <w:rPr>
                <w:sz w:val="6"/>
                <w:szCs w:val="6"/>
                <w:color w:val="auto"/>
              </w:rPr>
            </w:pPr>
          </w:p>
        </w:tc>
        <w:tc>
          <w:tcPr>
            <w:tcW w:w="480" w:type="dxa"/>
            <w:vAlign w:val="bottom"/>
          </w:tcPr>
          <w:p>
            <w:pPr>
              <w:spacing w:after="0"/>
              <w:rPr>
                <w:sz w:val="6"/>
                <w:szCs w:val="6"/>
                <w:color w:val="auto"/>
              </w:rPr>
            </w:pPr>
          </w:p>
        </w:tc>
        <w:tc>
          <w:tcPr>
            <w:tcW w:w="500" w:type="dxa"/>
            <w:vAlign w:val="bottom"/>
            <w:tcBorders>
              <w:right w:val="single" w:sz="8" w:color="D9D9D9"/>
            </w:tcBorders>
          </w:tcPr>
          <w:p>
            <w:pPr>
              <w:spacing w:after="0"/>
              <w:rPr>
                <w:sz w:val="6"/>
                <w:szCs w:val="6"/>
                <w:color w:val="auto"/>
              </w:rPr>
            </w:pPr>
          </w:p>
        </w:tc>
        <w:tc>
          <w:tcPr>
            <w:tcW w:w="1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71"/>
        </w:trPr>
        <w:tc>
          <w:tcPr>
            <w:tcW w:w="720" w:type="dxa"/>
            <w:vAlign w:val="bottom"/>
            <w:gridSpan w:val="2"/>
            <w:vMerge w:val="restart"/>
          </w:tcPr>
          <w:p>
            <w:pPr xmlns:w="http://schemas.openxmlformats.org/wordprocessingml/2006/main">
              <w:jc w:val="right"/>
              <w:ind w:right="70"/>
              <w:spacing w:after="0"/>
              <w:rPr>
                <w:sz w:val="20"/>
                <w:szCs w:val="20"/>
                <w:color w:val="auto"/>
              </w:rPr>
            </w:pPr>
            <w:r>
              <w:rPr xmlns:w="http://schemas.openxmlformats.org/wordprocessingml/2006/main">
                <w:rFonts w:ascii="Calibri" w:cs="Calibri" w:eastAsia="Calibri" w:hAnsi="Calibri"/>
                <w:sz w:val="18"/>
                <w:szCs w:val="18"/>
                <w:color w:val="595959"/>
                <w:w w:val="96"/>
              </w:rPr>
              <w:t xml:space="preserve">-1.000 $</w:t>
            </w:r>
          </w:p>
        </w:tc>
        <w:tc>
          <w:tcPr>
            <w:tcW w:w="480" w:type="dxa"/>
            <w:vAlign w:val="bottom"/>
            <w:tcBorders>
              <w:left w:val="single" w:sz="8" w:color="BFBFBF"/>
              <w:bottom w:val="single" w:sz="8" w:color="D9D9D9"/>
            </w:tcBorders>
          </w:tcPr>
          <w:p>
            <w:pPr>
              <w:spacing w:after="0"/>
              <w:rPr>
                <w:sz w:val="23"/>
                <w:szCs w:val="23"/>
                <w:color w:val="auto"/>
              </w:rPr>
            </w:pPr>
          </w:p>
        </w:tc>
        <w:tc>
          <w:tcPr>
            <w:tcW w:w="520" w:type="dxa"/>
            <w:vAlign w:val="bottom"/>
            <w:tcBorders>
              <w:bottom w:val="single" w:sz="8" w:color="D9D9D9"/>
              <w:right w:val="single" w:sz="8" w:color="D9D9D9"/>
            </w:tcBorders>
          </w:tcPr>
          <w:p>
            <w:pPr>
              <w:spacing w:after="0"/>
              <w:rPr>
                <w:sz w:val="23"/>
                <w:szCs w:val="23"/>
                <w:color w:val="auto"/>
              </w:rPr>
            </w:pPr>
          </w:p>
        </w:tc>
        <w:tc>
          <w:tcPr>
            <w:tcW w:w="480" w:type="dxa"/>
            <w:vAlign w:val="bottom"/>
            <w:tcBorders>
              <w:bottom w:val="single" w:sz="8" w:color="D9D9D9"/>
            </w:tcBorders>
          </w:tcPr>
          <w:p>
            <w:pPr>
              <w:spacing w:after="0"/>
              <w:rPr>
                <w:sz w:val="23"/>
                <w:szCs w:val="23"/>
                <w:color w:val="auto"/>
              </w:rPr>
            </w:pPr>
          </w:p>
        </w:tc>
        <w:tc>
          <w:tcPr>
            <w:tcW w:w="500" w:type="dxa"/>
            <w:vAlign w:val="bottom"/>
            <w:tcBorders>
              <w:bottom w:val="single" w:sz="8" w:color="D9D9D9"/>
              <w:right w:val="single" w:sz="8" w:color="D9D9D9"/>
            </w:tcBorders>
          </w:tcPr>
          <w:p>
            <w:pPr>
              <w:spacing w:after="0"/>
              <w:rPr>
                <w:sz w:val="23"/>
                <w:szCs w:val="23"/>
                <w:color w:val="auto"/>
              </w:rPr>
            </w:pPr>
          </w:p>
        </w:tc>
        <w:tc>
          <w:tcPr>
            <w:tcW w:w="800" w:type="dxa"/>
            <w:vAlign w:val="bottom"/>
            <w:tcBorders>
              <w:bottom w:val="single" w:sz="8" w:color="D9D9D9"/>
            </w:tcBorders>
          </w:tcPr>
          <w:p>
            <w:pPr>
              <w:spacing w:after="0"/>
              <w:rPr>
                <w:sz w:val="23"/>
                <w:szCs w:val="23"/>
                <w:color w:val="auto"/>
              </w:rPr>
            </w:pPr>
          </w:p>
        </w:tc>
        <w:tc>
          <w:tcPr>
            <w:tcW w:w="180" w:type="dxa"/>
            <w:vAlign w:val="bottom"/>
            <w:tcBorders>
              <w:bottom w:val="single" w:sz="8" w:color="D9D9D9"/>
              <w:right w:val="single" w:sz="8" w:color="D9D9D9"/>
            </w:tcBorders>
          </w:tcPr>
          <w:p>
            <w:pPr>
              <w:spacing w:after="0"/>
              <w:rPr>
                <w:sz w:val="23"/>
                <w:szCs w:val="23"/>
                <w:color w:val="auto"/>
              </w:rPr>
            </w:pPr>
          </w:p>
        </w:tc>
        <w:tc>
          <w:tcPr>
            <w:tcW w:w="480" w:type="dxa"/>
            <w:vAlign w:val="bottom"/>
            <w:tcBorders>
              <w:bottom w:val="single" w:sz="8" w:color="D9D9D9"/>
            </w:tcBorders>
          </w:tcPr>
          <w:p>
            <w:pPr>
              <w:spacing w:after="0"/>
              <w:rPr>
                <w:sz w:val="23"/>
                <w:szCs w:val="23"/>
                <w:color w:val="auto"/>
              </w:rPr>
            </w:pPr>
          </w:p>
        </w:tc>
        <w:tc>
          <w:tcPr>
            <w:tcW w:w="500" w:type="dxa"/>
            <w:vAlign w:val="bottom"/>
            <w:tcBorders>
              <w:bottom w:val="single" w:sz="8" w:color="D9D9D9"/>
              <w:right w:val="single" w:sz="8" w:color="D9D9D9"/>
            </w:tcBorders>
          </w:tcPr>
          <w:p>
            <w:pPr>
              <w:spacing w:after="0"/>
              <w:rPr>
                <w:sz w:val="23"/>
                <w:szCs w:val="23"/>
                <w:color w:val="auto"/>
              </w:rPr>
            </w:pPr>
          </w:p>
        </w:tc>
        <w:tc>
          <w:tcPr>
            <w:tcW w:w="16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50"/>
        </w:trPr>
        <w:tc>
          <w:tcPr>
            <w:tcW w:w="720" w:type="dxa"/>
            <w:vAlign w:val="bottom"/>
            <w:gridSpan w:val="2"/>
            <w:vMerge w:val="continue"/>
          </w:tcPr>
          <w:p>
            <w:pPr>
              <w:spacing w:after="0"/>
              <w:rPr>
                <w:sz w:val="4"/>
                <w:szCs w:val="4"/>
                <w:color w:val="auto"/>
              </w:rPr>
            </w:pPr>
          </w:p>
        </w:tc>
        <w:tc>
          <w:tcPr>
            <w:tcW w:w="480" w:type="dxa"/>
            <w:vAlign w:val="bottom"/>
            <w:tcBorders>
              <w:top w:val="single" w:sz="8" w:color="D9D9D9"/>
            </w:tcBorders>
          </w:tcPr>
          <w:p>
            <w:pPr>
              <w:spacing w:after="0"/>
              <w:rPr>
                <w:sz w:val="4"/>
                <w:szCs w:val="4"/>
                <w:color w:val="auto"/>
              </w:rPr>
            </w:pPr>
          </w:p>
        </w:tc>
        <w:tc>
          <w:tcPr>
            <w:tcW w:w="520" w:type="dxa"/>
            <w:vAlign w:val="bottom"/>
            <w:tcBorders>
              <w:top w:val="single" w:sz="8" w:color="D9D9D9"/>
            </w:tcBorders>
          </w:tcPr>
          <w:p>
            <w:pPr>
              <w:spacing w:after="0"/>
              <w:rPr>
                <w:sz w:val="4"/>
                <w:szCs w:val="4"/>
                <w:color w:val="auto"/>
              </w:rPr>
            </w:pPr>
          </w:p>
        </w:tc>
        <w:tc>
          <w:tcPr>
            <w:tcW w:w="480" w:type="dxa"/>
            <w:vAlign w:val="bottom"/>
            <w:tcBorders>
              <w:top w:val="single" w:sz="8" w:color="D9D9D9"/>
            </w:tcBorders>
          </w:tcPr>
          <w:p>
            <w:pPr>
              <w:spacing w:after="0"/>
              <w:rPr>
                <w:sz w:val="4"/>
                <w:szCs w:val="4"/>
                <w:color w:val="auto"/>
              </w:rPr>
            </w:pPr>
          </w:p>
        </w:tc>
        <w:tc>
          <w:tcPr>
            <w:tcW w:w="500" w:type="dxa"/>
            <w:vAlign w:val="bottom"/>
            <w:tcBorders>
              <w:top w:val="single" w:sz="8" w:color="D9D9D9"/>
            </w:tcBorders>
          </w:tcPr>
          <w:p>
            <w:pPr>
              <w:spacing w:after="0"/>
              <w:rPr>
                <w:sz w:val="4"/>
                <w:szCs w:val="4"/>
                <w:color w:val="auto"/>
              </w:rPr>
            </w:pPr>
          </w:p>
        </w:tc>
        <w:tc>
          <w:tcPr>
            <w:tcW w:w="800" w:type="dxa"/>
            <w:vAlign w:val="bottom"/>
            <w:tcBorders>
              <w:top w:val="single" w:sz="8" w:color="D9D9D9"/>
            </w:tcBorders>
          </w:tcPr>
          <w:p>
            <w:pPr>
              <w:spacing w:after="0"/>
              <w:rPr>
                <w:sz w:val="4"/>
                <w:szCs w:val="4"/>
                <w:color w:val="auto"/>
              </w:rPr>
            </w:pPr>
          </w:p>
        </w:tc>
        <w:tc>
          <w:tcPr>
            <w:tcW w:w="180" w:type="dxa"/>
            <w:vAlign w:val="bottom"/>
            <w:tcBorders>
              <w:top w:val="single" w:sz="8" w:color="D9D9D9"/>
            </w:tcBorders>
          </w:tcPr>
          <w:p>
            <w:pPr>
              <w:spacing w:after="0"/>
              <w:rPr>
                <w:sz w:val="4"/>
                <w:szCs w:val="4"/>
                <w:color w:val="auto"/>
              </w:rPr>
            </w:pPr>
          </w:p>
        </w:tc>
        <w:tc>
          <w:tcPr>
            <w:tcW w:w="480" w:type="dxa"/>
            <w:vAlign w:val="bottom"/>
            <w:tcBorders>
              <w:top w:val="single" w:sz="8" w:color="D9D9D9"/>
            </w:tcBorders>
          </w:tcPr>
          <w:p>
            <w:pPr>
              <w:spacing w:after="0"/>
              <w:rPr>
                <w:sz w:val="4"/>
                <w:szCs w:val="4"/>
                <w:color w:val="auto"/>
              </w:rPr>
            </w:pPr>
          </w:p>
        </w:tc>
        <w:tc>
          <w:tcPr>
            <w:tcW w:w="500" w:type="dxa"/>
            <w:vAlign w:val="bottom"/>
            <w:tcBorders>
              <w:top w:val="single" w:sz="8" w:color="D9D9D9"/>
            </w:tcBorders>
          </w:tcPr>
          <w:p>
            <w:pPr>
              <w:spacing w:after="0"/>
              <w:rPr>
                <w:sz w:val="4"/>
                <w:szCs w:val="4"/>
                <w:color w:val="auto"/>
              </w:rPr>
            </w:pPr>
          </w:p>
        </w:tc>
        <w:tc>
          <w:tcPr>
            <w:tcW w:w="16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33"/>
        </w:trPr>
        <w:tc>
          <w:tcPr>
            <w:tcW w:w="180" w:type="dxa"/>
            <w:vAlign w:val="bottom"/>
          </w:tcPr>
          <w:p>
            <w:pPr>
              <w:spacing w:after="0"/>
              <w:rPr>
                <w:sz w:val="20"/>
                <w:szCs w:val="20"/>
                <w:color w:val="auto"/>
              </w:rPr>
            </w:pPr>
          </w:p>
        </w:tc>
        <w:tc>
          <w:tcPr>
            <w:tcW w:w="1020" w:type="dxa"/>
            <w:vAlign w:val="bottom"/>
            <w:gridSpan w:val="2"/>
          </w:tcPr>
          <w:p>
            <w:pPr xmlns:w="http://schemas.openxmlformats.org/wordprocessingml/2006/main">
              <w:jc w:val="right"/>
              <w:ind w:right="340"/>
              <w:spacing w:after="0"/>
              <w:rPr>
                <w:sz w:val="20"/>
                <w:szCs w:val="20"/>
                <w:color w:val="auto"/>
              </w:rPr>
            </w:pPr>
            <w:r>
              <w:rPr xmlns:w="http://schemas.openxmlformats.org/wordprocessingml/2006/main">
                <w:rFonts w:ascii="Calibri" w:cs="Calibri" w:eastAsia="Calibri" w:hAnsi="Calibri"/>
                <w:sz w:val="18"/>
                <w:szCs w:val="18"/>
                <w:color w:val="595959"/>
              </w:rPr>
              <w:t xml:space="preserve">40 $</w:t>
            </w:r>
          </w:p>
        </w:tc>
        <w:tc>
          <w:tcPr>
            <w:tcW w:w="1000" w:type="dxa"/>
            <w:vAlign w:val="bottom"/>
            <w:gridSpan w:val="2"/>
          </w:tcPr>
          <w:p>
            <w:pPr xmlns:w="http://schemas.openxmlformats.org/wordprocessingml/2006/main">
              <w:jc w:val="right"/>
              <w:ind w:right="360"/>
              <w:spacing w:after="0"/>
              <w:rPr>
                <w:sz w:val="20"/>
                <w:szCs w:val="20"/>
                <w:color w:val="auto"/>
              </w:rPr>
            </w:pPr>
            <w:r>
              <w:rPr xmlns:w="http://schemas.openxmlformats.org/wordprocessingml/2006/main">
                <w:rFonts w:ascii="Calibri" w:cs="Calibri" w:eastAsia="Calibri" w:hAnsi="Calibri"/>
                <w:sz w:val="18"/>
                <w:szCs w:val="18"/>
                <w:color w:val="595959"/>
              </w:rPr>
              <w:t xml:space="preserve">45 $</w:t>
            </w:r>
          </w:p>
        </w:tc>
        <w:tc>
          <w:tcPr>
            <w:tcW w:w="1300" w:type="dxa"/>
            <w:vAlign w:val="bottom"/>
            <w:gridSpan w:val="2"/>
          </w:tcPr>
          <w:p>
            <w:pPr xmlns:w="http://schemas.openxmlformats.org/wordprocessingml/2006/main">
              <w:jc w:val="right"/>
              <w:ind w:right="680"/>
              <w:spacing w:after="0"/>
              <w:rPr>
                <w:sz w:val="20"/>
                <w:szCs w:val="20"/>
                <w:color w:val="auto"/>
              </w:rPr>
            </w:pPr>
            <w:r>
              <w:rPr xmlns:w="http://schemas.openxmlformats.org/wordprocessingml/2006/main">
                <w:rFonts w:ascii="Calibri" w:cs="Calibri" w:eastAsia="Calibri" w:hAnsi="Calibri"/>
                <w:sz w:val="18"/>
                <w:szCs w:val="18"/>
                <w:color w:val="595959"/>
              </w:rPr>
              <w:t xml:space="preserve">50 $</w:t>
            </w:r>
          </w:p>
        </w:tc>
        <w:tc>
          <w:tcPr>
            <w:tcW w:w="660" w:type="dxa"/>
            <w:vAlign w:val="bottom"/>
            <w:gridSpan w:val="2"/>
          </w:tcPr>
          <w:p>
            <w:pPr xmlns:w="http://schemas.openxmlformats.org/wordprocessingml/2006/main">
              <w:jc w:val="right"/>
              <w:ind w:right="340"/>
              <w:spacing w:after="0"/>
              <w:rPr>
                <w:sz w:val="20"/>
                <w:szCs w:val="20"/>
                <w:color w:val="auto"/>
              </w:rPr>
            </w:pPr>
            <w:r>
              <w:rPr xmlns:w="http://schemas.openxmlformats.org/wordprocessingml/2006/main">
                <w:rFonts w:ascii="Calibri" w:cs="Calibri" w:eastAsia="Calibri" w:hAnsi="Calibri"/>
                <w:sz w:val="18"/>
                <w:szCs w:val="18"/>
                <w:color w:val="595959"/>
              </w:rPr>
              <w:t xml:space="preserve">55 $</w:t>
            </w:r>
          </w:p>
        </w:tc>
        <w:tc>
          <w:tcPr>
            <w:tcW w:w="640" w:type="dxa"/>
            <w:vAlign w:val="bottom"/>
            <w:gridSpan w:val="2"/>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60 $</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1149985</wp:posOffset>
            </wp:positionH>
            <wp:positionV relativeFrom="paragraph">
              <wp:posOffset>-855345</wp:posOffset>
            </wp:positionV>
            <wp:extent cx="1316990" cy="49403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4">
                      <a:extLst>
                        <a:ext uri="{28A0092B-C50C-407E-A947-70E740481C1C}"/>
                      </a:extLst>
                    </a:blip>
                    <a:srcRect/>
                    <a:stretch>
                      <a:fillRect/>
                    </a:stretch>
                  </pic:blipFill>
                  <pic:spPr bwMode="auto">
                    <a:xfrm>
                      <a:off x="0" y="0"/>
                      <a:ext cx="1316990" cy="494030"/>
                    </a:xfrm>
                    <a:prstGeom prst="rect">
                      <a:avLst/>
                    </a:prstGeom>
                    <a:noFill/>
                  </pic:spPr>
                </pic:pic>
              </a:graphicData>
            </a:graphic>
          </wp:anchor>
        </w:drawing>
      </w:r>
    </w:p>
    <w:p>
      <w:pPr>
        <w:spacing w:after="0" w:line="25" w:lineRule="exact"/>
        <w:rPr>
          <w:sz w:val="20"/>
          <w:szCs w:val="20"/>
          <w:color w:val="auto"/>
        </w:rPr>
      </w:pPr>
    </w:p>
    <w:p>
      <w:pPr xmlns:w="http://schemas.openxmlformats.org/wordprocessingml/2006/main">
        <w:ind w:left="1600"/>
        <w:spacing w:after="0"/>
        <w:rPr>
          <w:sz w:val="20"/>
          <w:szCs w:val="20"/>
          <w:color w:val="auto"/>
        </w:rPr>
      </w:pPr>
      <w:r>
        <w:rPr xmlns:w="http://schemas.openxmlformats.org/wordprocessingml/2006/main">
          <w:rFonts w:ascii="Calibri" w:cs="Calibri" w:eastAsia="Calibri" w:hAnsi="Calibri"/>
          <w:sz w:val="16"/>
          <w:szCs w:val="16"/>
          <w:color w:val="595959"/>
        </w:rPr>
        <w:t xml:space="preserve">Αγοραία τιμή του υποκείμενου εμπορεύματος</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6"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u w:val="single" w:color="auto"/>
          <w:color w:val="auto"/>
        </w:rPr>
        <w:t xml:space="preserve">P/L Υπερτονισμένο (</w:t>
      </w:r>
      <w:r>
        <w:rPr xmlns:w="http://schemas.openxmlformats.org/wordprocessingml/2006/main">
          <w:rFonts w:ascii="Calibri" w:cs="Calibri" w:eastAsia="Calibri" w:hAnsi="Calibri"/>
          <w:sz w:val="16"/>
          <w:szCs w:val="16"/>
          <w:u w:val="single" w:color="auto"/>
          <w:color w:val="FF0000"/>
        </w:rPr>
        <w:t xml:space="preserve">Σημείο Κόκκινου Παρατηρητηρίου</w:t>
      </w:r>
      <w:r>
        <w:rPr xmlns:w="http://schemas.openxmlformats.org/wordprocessingml/2006/main">
          <w:rFonts w:ascii="Calibri" w:cs="Calibri" w:eastAsia="Calibri" w:hAnsi="Calibri"/>
          <w:sz w:val="16"/>
          <w:szCs w:val="16"/>
          <w:u w:val="single" w:color="auto"/>
          <w:color w:val="auto"/>
        </w:rPr>
        <w:t xml:space="preserve">)</w:t>
      </w:r>
    </w:p>
    <w:p>
      <w:pPr>
        <w:spacing w:after="0" w:line="119"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auto"/>
        </w:rPr>
        <w:t xml:space="preserve">Προκαθορισμένη τιμή κατά τη λήξη:</w:t>
      </w:r>
      <w:r>
        <w:rPr xmlns:w="http://schemas.openxmlformats.org/wordprocessingml/2006/main">
          <w:rFonts w:ascii="Calibri" w:cs="Calibri" w:eastAsia="Calibri" w:hAnsi="Calibri"/>
          <w:sz w:val="16"/>
          <w:szCs w:val="16"/>
          <w:color w:val="auto"/>
        </w:rPr>
        <w:t xml:space="preserve"> 50 $</w:t>
      </w:r>
    </w:p>
    <w:p>
      <w:pPr>
        <w:spacing w:after="0" w:line="121"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auto"/>
        </w:rPr>
        <w:t xml:space="preserve">Πραγματική αγοραία τιμή κατά τη λήξη:</w:t>
      </w:r>
      <w:r>
        <w:rPr xmlns:w="http://schemas.openxmlformats.org/wordprocessingml/2006/main">
          <w:rFonts w:ascii="Calibri" w:cs="Calibri" w:eastAsia="Calibri" w:hAnsi="Calibri"/>
          <w:sz w:val="16"/>
          <w:szCs w:val="16"/>
          <w:color w:val="auto"/>
        </w:rPr>
        <w:t xml:space="preserve"> 45 $</w:t>
      </w:r>
    </w:p>
    <w:p>
      <w:pPr>
        <w:spacing w:after="0" w:line="177" w:lineRule="exact"/>
        <w:rPr>
          <w:sz w:val="20"/>
          <w:szCs w:val="20"/>
          <w:color w:val="auto"/>
        </w:rPr>
      </w:pPr>
    </w:p>
    <w:p>
      <w:pPr xmlns:w="http://schemas.openxmlformats.org/wordprocessingml/2006/main">
        <w:ind w:left="280" w:right="1080" w:hanging="144"/>
        <w:spacing w:after="0" w:line="219" w:lineRule="auto"/>
        <w:tabs>
          <w:tab w:leader="none" w:pos="280" w:val="left"/>
        </w:tabs>
        <w:numPr>
          <w:ilvl w:val="0"/>
          <w:numId w:val="2"/>
        </w:numPr>
        <w:rPr>
          <w:rFonts w:ascii="Symbol" w:cs="Symbol" w:eastAsia="Symbol" w:hAnsi="Symbol"/>
          <w:sz w:val="15"/>
          <w:szCs w:val="15"/>
          <w:color w:val="auto"/>
        </w:rPr>
      </w:pPr>
      <w:r>
        <w:rPr xmlns:w="http://schemas.openxmlformats.org/wordprocessingml/2006/main">
          <w:rFonts w:ascii="Calibri" w:cs="Calibri" w:eastAsia="Calibri" w:hAnsi="Calibri"/>
          <w:sz w:val="15"/>
          <w:szCs w:val="15"/>
          <w:color w:val="auto"/>
        </w:rPr>
        <w:t xml:space="preserve">Ευνοϊκό για τον πωλητή (σύντομο) + $ 500</w:t>
      </w:r>
    </w:p>
    <w:p>
      <w:pPr xmlns:w="http://schemas.openxmlformats.org/wordprocessingml/2006/main">
        <w:ind w:left="280" w:hanging="144"/>
        <w:spacing w:after="0"/>
        <w:tabs>
          <w:tab w:leader="none" w:pos="280" w:val="left"/>
        </w:tabs>
        <w:numPr>
          <w:ilvl w:val="0"/>
          <w:numId w:val="2"/>
        </w:numPr>
        <w:rPr>
          <w:rFonts w:ascii="Symbol" w:cs="Symbol" w:eastAsia="Symbol" w:hAnsi="Symbol"/>
          <w:sz w:val="16"/>
          <w:szCs w:val="16"/>
          <w:color w:val="auto"/>
        </w:rPr>
      </w:pPr>
      <w:r>
        <w:rPr xmlns:w="http://schemas.openxmlformats.org/wordprocessingml/2006/main">
          <w:rFonts w:ascii="Calibri" w:cs="Calibri" w:eastAsia="Calibri" w:hAnsi="Calibri"/>
          <w:sz w:val="16"/>
          <w:szCs w:val="16"/>
          <w:color w:val="auto"/>
        </w:rPr>
        <w:t xml:space="preserve">Μη ευνοϊκό για τον αγοραστή (μακρύ) - $500</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6"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u w:val="single" w:color="auto"/>
          <w:color w:val="auto"/>
        </w:rPr>
        <w:t xml:space="preserve">P/L Μέτρια (</w:t>
      </w:r>
      <w:r>
        <w:rPr xmlns:w="http://schemas.openxmlformats.org/wordprocessingml/2006/main">
          <w:rFonts w:ascii="Calibri" w:cs="Calibri" w:eastAsia="Calibri" w:hAnsi="Calibri"/>
          <w:sz w:val="16"/>
          <w:szCs w:val="16"/>
          <w:u w:val="single" w:color="auto"/>
          <w:color w:val="00B050"/>
        </w:rPr>
        <w:t xml:space="preserve">Πράσινο Σημείο Σχεδίασης</w:t>
      </w:r>
      <w:r>
        <w:rPr xmlns:w="http://schemas.openxmlformats.org/wordprocessingml/2006/main">
          <w:rFonts w:ascii="Calibri" w:cs="Calibri" w:eastAsia="Calibri" w:hAnsi="Calibri"/>
          <w:sz w:val="16"/>
          <w:szCs w:val="16"/>
          <w:u w:val="single" w:color="auto"/>
          <w:color w:val="auto"/>
        </w:rPr>
        <w:t xml:space="preserve">)</w:t>
      </w:r>
    </w:p>
    <w:p>
      <w:pPr>
        <w:spacing w:after="0" w:line="119"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auto"/>
        </w:rPr>
        <w:t xml:space="preserve">Προκαθορισμένη τιμή κατά τη λήξη:</w:t>
      </w:r>
      <w:r>
        <w:rPr xmlns:w="http://schemas.openxmlformats.org/wordprocessingml/2006/main">
          <w:rFonts w:ascii="Calibri" w:cs="Calibri" w:eastAsia="Calibri" w:hAnsi="Calibri"/>
          <w:sz w:val="16"/>
          <w:szCs w:val="16"/>
          <w:color w:val="auto"/>
        </w:rPr>
        <w:t xml:space="preserve"> 50 $</w:t>
      </w:r>
    </w:p>
    <w:p>
      <w:pPr>
        <w:spacing w:after="0" w:line="121" w:lineRule="exact"/>
        <w:rPr>
          <w:sz w:val="20"/>
          <w:szCs w:val="20"/>
          <w:color w:val="auto"/>
        </w:rPr>
      </w:pPr>
    </w:p>
    <w:p>
      <w:pPr xmlns:w="http://schemas.openxmlformats.org/wordprocessingml/2006/main">
        <w:jc w:val="center"/>
        <w:ind w:right="220"/>
        <w:spacing w:after="0"/>
        <w:rPr>
          <w:sz w:val="20"/>
          <w:szCs w:val="20"/>
          <w:color w:val="auto"/>
        </w:rPr>
      </w:pPr>
      <w:r>
        <w:rPr xmlns:w="http://schemas.openxmlformats.org/wordprocessingml/2006/main">
          <w:rFonts w:ascii="Calibri" w:cs="Calibri" w:eastAsia="Calibri" w:hAnsi="Calibri"/>
          <w:sz w:val="16"/>
          <w:szCs w:val="16"/>
          <w:color w:val="auto"/>
        </w:rPr>
        <w:t xml:space="preserve">Πραγματική αγοραία τιμή κατά τη λήξη:</w:t>
      </w:r>
      <w:r>
        <w:rPr xmlns:w="http://schemas.openxmlformats.org/wordprocessingml/2006/main">
          <w:rFonts w:ascii="Calibri" w:cs="Calibri" w:eastAsia="Calibri" w:hAnsi="Calibri"/>
          <w:sz w:val="16"/>
          <w:szCs w:val="16"/>
          <w:color w:val="auto"/>
        </w:rPr>
        <w:t xml:space="preserve"> 51 $</w:t>
      </w:r>
    </w:p>
    <w:p>
      <w:pPr>
        <w:spacing w:after="0" w:line="120" w:lineRule="exact"/>
        <w:rPr>
          <w:sz w:val="20"/>
          <w:szCs w:val="20"/>
          <w:color w:val="auto"/>
        </w:rPr>
      </w:pPr>
    </w:p>
    <w:p>
      <w:pPr xmlns:w="http://schemas.openxmlformats.org/wordprocessingml/2006/main">
        <w:ind w:left="300" w:hanging="148"/>
        <w:spacing w:after="0"/>
        <w:tabs>
          <w:tab w:leader="none" w:pos="300" w:val="left"/>
        </w:tabs>
        <w:numPr>
          <w:ilvl w:val="0"/>
          <w:numId w:val="3"/>
        </w:numPr>
        <w:rPr>
          <w:rFonts w:ascii="Symbol" w:cs="Symbol" w:eastAsia="Symbol" w:hAnsi="Symbol"/>
          <w:sz w:val="16"/>
          <w:szCs w:val="16"/>
          <w:color w:val="auto"/>
        </w:rPr>
      </w:pPr>
      <w:r>
        <w:rPr xmlns:w="http://schemas.openxmlformats.org/wordprocessingml/2006/main">
          <w:rFonts w:ascii="Calibri" w:cs="Calibri" w:eastAsia="Calibri" w:hAnsi="Calibri"/>
          <w:sz w:val="16"/>
          <w:szCs w:val="16"/>
          <w:color w:val="auto"/>
        </w:rPr>
        <w:t xml:space="preserve">Μη ευνοϊκό για τον πωλητή (σύντομο) - $100</w:t>
      </w:r>
    </w:p>
    <w:p>
      <w:pPr>
        <w:spacing w:after="0" w:line="9" w:lineRule="exact"/>
        <w:rPr>
          <w:sz w:val="20"/>
          <w:szCs w:val="20"/>
          <w:color w:val="auto"/>
        </w:rPr>
      </w:pPr>
    </w:p>
    <w:tbl>
      <w:tblPr>
        <w:tblLayout w:type="fixed"/>
        <w:tblInd w:w="160" w:type="dxa"/>
        <w:tblCellMar>
          <w:top w:w="0" w:type="dxa"/>
          <w:left w:w="0" w:type="dxa"/>
          <w:bottom w:w="0" w:type="dxa"/>
          <w:right w:w="0" w:type="dxa"/>
        </w:tblCellMar>
      </w:tblPr>
      <w:tr>
        <w:trPr>
          <w:trHeight w:val="213"/>
        </w:trPr>
        <w:tc>
          <w:tcPr>
            <w:tcW w:w="1920" w:type="dxa"/>
            <w:vAlign w:val="bottom"/>
          </w:tcPr>
          <w:p>
            <w:pPr xmlns:w="http://schemas.openxmlformats.org/wordprocessingml/2006/main">
              <w:spacing w:after="0"/>
              <w:rPr>
                <w:sz w:val="20"/>
                <w:szCs w:val="20"/>
                <w:color w:val="auto"/>
              </w:rPr>
            </w:pPr>
            <w:r xmlns:w="http://schemas.openxmlformats.org/wordprocessingml/2006/main">
              <w:rPr>
                <w:rFonts w:ascii="Symbol" w:cs="Symbol" w:eastAsia="Symbol" w:hAnsi="Symbol"/>
                <w:sz w:val="16"/>
                <w:szCs w:val="16"/>
                <w:color w:val="auto"/>
              </w:rPr>
              <w:t>·</w:t>
            </w:r>
            <w:r>
              <w:rPr xmlns:w="http://schemas.openxmlformats.org/wordprocessingml/2006/main">
                <w:rFonts w:ascii="Calibri" w:cs="Calibri" w:eastAsia="Calibri" w:hAnsi="Calibri"/>
                <w:sz w:val="16"/>
                <w:szCs w:val="16"/>
                <w:color w:val="auto"/>
              </w:rPr>
              <w:t xml:space="preserve"> Ευνοϊκό για τον αγοραστή (μακρύ)</w:t>
            </w:r>
          </w:p>
        </w:tc>
        <w:tc>
          <w:tcPr>
            <w:tcW w:w="560" w:type="dxa"/>
            <w:vAlign w:val="bottom"/>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6"/>
                <w:szCs w:val="16"/>
                <w:color w:val="auto"/>
              </w:rPr>
              <w:t xml:space="preserve">+ 100 $</w:t>
            </w:r>
          </w:p>
        </w:tc>
      </w:tr>
    </w:tbl>
    <w:p>
      <w:pPr>
        <w:spacing w:after="0" w:line="245" w:lineRule="exact"/>
        <w:rPr>
          <w:sz w:val="20"/>
          <w:szCs w:val="20"/>
          <w:color w:val="auto"/>
        </w:rPr>
      </w:pPr>
    </w:p>
    <w:p>
      <w:pPr xmlns:w="http://schemas.openxmlformats.org/wordprocessingml/2006/main">
        <w:ind w:right="120"/>
        <w:spacing w:after="0" w:line="220" w:lineRule="auto"/>
        <w:rPr>
          <w:sz w:val="20"/>
          <w:szCs w:val="20"/>
          <w:color w:val="auto"/>
        </w:rPr>
      </w:pPr>
      <w:r>
        <w:rPr xmlns:w="http://schemas.openxmlformats.org/wordprocessingml/2006/main">
          <w:rFonts w:ascii="Calibri" w:cs="Calibri" w:eastAsia="Calibri" w:hAnsi="Calibri"/>
          <w:sz w:val="16"/>
          <w:szCs w:val="16"/>
          <w:u w:val="single" w:color="auto"/>
          <w:color w:val="auto"/>
        </w:rPr>
        <w:t xml:space="preserve">Το Break Even Point προκύπτει όταν η προκαθορισμένη τιμή ισούται με την πραγματική αγοραία τιμή.</w:t>
      </w:r>
    </w:p>
    <w:p>
      <w:pPr>
        <w:spacing w:after="0" w:line="235" w:lineRule="exact"/>
        <w:rPr>
          <w:sz w:val="20"/>
          <w:szCs w:val="20"/>
          <w:color w:val="auto"/>
        </w:rPr>
      </w:pPr>
    </w:p>
    <w:p>
      <w:pPr>
        <w:sectPr>
          <w:pgSz w:w="12240" w:h="15840" w:orient="portrait"/>
          <w:cols w:equalWidth="0" w:num="3">
            <w:col w:w="4980" w:space="140"/>
            <w:col w:w="2560" w:space="220"/>
            <w:col w:w="2620"/>
          </w:cols>
          <w:pgMar w:left="1080" w:top="706" w:right="640" w:bottom="457" w:gutter="0" w:footer="0" w:header="0"/>
          <w:type w:val="continuous"/>
        </w:sectPr>
      </w:pPr>
    </w:p>
    <w:p>
      <w:pPr>
        <w:spacing w:after="0" w:line="93" w:lineRule="exact"/>
        <w:rPr>
          <w:sz w:val="20"/>
          <w:szCs w:val="20"/>
          <w:color w:val="auto"/>
        </w:rPr>
      </w:pPr>
    </w:p>
    <w:p>
      <w:pPr xmlns:w="http://schemas.openxmlformats.org/wordprocessingml/2006/main">
        <w:ind w:right="60"/>
        <w:spacing w:after="0" w:line="231" w:lineRule="auto"/>
        <w:rPr>
          <w:sz w:val="20"/>
          <w:szCs w:val="20"/>
          <w:color w:val="auto"/>
        </w:rPr>
      </w:pPr>
      <w:r>
        <w:rPr xmlns:w="http://schemas.openxmlformats.org/wordprocessingml/2006/main">
          <w:rFonts w:ascii="Calibri" w:cs="Calibri" w:eastAsia="Calibri" w:hAnsi="Calibri"/>
          <w:sz w:val="22"/>
          <w:szCs w:val="22"/>
          <w:color w:val="auto"/>
        </w:rPr>
        <w:t xml:space="preserve">Το γράφημα απεικονίζει πώς θα μπορούσε να αποδώσει η επένδυσή σας.</w:t>
      </w:r>
      <w:r>
        <w:rPr xmlns:w="http://schemas.openxmlformats.org/wordprocessingml/2006/main">
          <w:rFonts w:ascii="Calibri" w:cs="Calibri" w:eastAsia="Calibri" w:hAnsi="Calibri"/>
          <w:sz w:val="22"/>
          <w:szCs w:val="22"/>
          <w:color w:val="auto"/>
        </w:rPr>
        <w:t xml:space="preserve"> Μπορείτε να το συγκρίνετε με τα γραφήματα απόσβεσης για άλλα παράγωγα.</w:t>
      </w:r>
      <w:r>
        <w:rPr xmlns:w="http://schemas.openxmlformats.org/wordprocessingml/2006/main">
          <w:rFonts w:ascii="Calibri" w:cs="Calibri" w:eastAsia="Calibri" w:hAnsi="Calibri"/>
          <w:sz w:val="22"/>
          <w:szCs w:val="22"/>
          <w:color w:val="auto"/>
        </w:rPr>
        <w:t xml:space="preserve"> Το γράφημα παρουσιάζει ένα εύρος πιθανών αποτελεσμάτων και δεν είναι μια ακριβής ένδειξη του τι μπορεί να πάρετε πίσω.</w:t>
      </w:r>
      <w:r>
        <w:rPr xmlns:w="http://schemas.openxmlformats.org/wordprocessingml/2006/main">
          <w:rFonts w:ascii="Calibri" w:cs="Calibri" w:eastAsia="Calibri" w:hAnsi="Calibri"/>
          <w:sz w:val="22"/>
          <w:szCs w:val="22"/>
          <w:color w:val="auto"/>
        </w:rPr>
        <w:t xml:space="preserve"> Η επένδυση σε αυτό το προϊόν κρατά ότι νομίζετε ότι η υποκείμενη τιμή θα αυξηθεί.</w:t>
      </w:r>
      <w:r>
        <w:rPr xmlns:w="http://schemas.openxmlformats.org/wordprocessingml/2006/main">
          <w:rFonts w:ascii="Calibri" w:cs="Calibri" w:eastAsia="Calibri" w:hAnsi="Calibri"/>
          <w:sz w:val="22"/>
          <w:szCs w:val="22"/>
          <w:color w:val="auto"/>
        </w:rPr>
        <w:t xml:space="preserve"> Αυτό που θα πάρετε πίσω θα ποικίλει ανάλογα με το πώς το υποκείμενο θα αναπτυχθεί που εξαρτάται από τη μελλοντική απόδοση της αγοράς που είναι αβέβαιο και δεν μπορεί να προβλεφθεί.</w:t>
      </w:r>
      <w:r>
        <w:rPr xmlns:w="http://schemas.openxmlformats.org/wordprocessingml/2006/main">
          <w:rFonts w:ascii="Calibri" w:cs="Calibri" w:eastAsia="Calibri" w:hAnsi="Calibri"/>
          <w:sz w:val="22"/>
          <w:szCs w:val="22"/>
          <w:color w:val="auto"/>
        </w:rPr>
        <w:t xml:space="preserve"> Για δύο τιμές του υποκείμενου μέσου, το γράφημα δείχνει ποιο θα ήταν το κέρδος ή η ζημία του προϊόντος.</w:t>
      </w:r>
      <w:r>
        <w:rPr xmlns:w="http://schemas.openxmlformats.org/wordprocessingml/2006/main">
          <w:rFonts w:ascii="Calibri" w:cs="Calibri" w:eastAsia="Calibri" w:hAnsi="Calibri"/>
          <w:sz w:val="22"/>
          <w:szCs w:val="22"/>
          <w:color w:val="auto"/>
        </w:rPr>
        <w:t xml:space="preserve"> Ο οριζόντιος άξονας δείχνει τις πιθανές τιμές της υποκείμενης τιμής και ο κατακόρυφος άξονας δείχνει το κέρδος ή τη ζημία.</w:t>
      </w:r>
      <w:r>
        <w:rPr xmlns:w="http://schemas.openxmlformats.org/wordprocessingml/2006/main">
          <w:rFonts w:ascii="Calibri" w:cs="Calibri" w:eastAsia="Calibri" w:hAnsi="Calibri"/>
          <w:sz w:val="22"/>
          <w:szCs w:val="22"/>
          <w:color w:val="auto"/>
        </w:rPr>
        <w:t xml:space="preserve"> Τα στοιχεία που παρουσιάζονται περιλαμβάνουν όλα τα έξοδα του ίδιου του προϊόντος, αλλά μπορεί να μην περιλαμβάνουν όλα τα έξοδα που πληρώνετε στο σύμβουλό σας</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-65405</wp:posOffset>
                </wp:positionH>
                <wp:positionV relativeFrom="paragraph">
                  <wp:posOffset>18415</wp:posOffset>
                </wp:positionV>
                <wp:extent cx="6788785" cy="0"/>
                <wp:wrapNone/>
                <wp:docPr id="25" name="Shape 2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78878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25" o:spid="_x0000_s105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1499pt,1.45pt" to="529.4pt,1.45pt" o:allowincell="f" strokecolor="#000000" strokeweight="0.4799pt"/>
            </w:pict>
          </mc:Fallback>
        </mc:AlternateContent>
      </w:r>
    </w:p>
    <w:p>
      <w:pPr>
        <w:sectPr>
          <w:pgSz w:w="12240" w:h="15840" w:orient="portrait"/>
          <w:cols w:equalWidth="0" w:num="1">
            <w:col w:w="10520"/>
          </w:cols>
          <w:pgMar w:left="1080" w:top="706" w:right="640" w:bottom="457" w:gutter="0" w:footer="0" w:header="0"/>
          <w:type w:val="continuous"/>
        </w:sectPr>
      </w:pPr>
    </w:p>
    <w:bookmarkStart w:id="2" w:name="page3"/>
    <w:bookmarkEnd w:id="2"/>
    <w:p>
      <w:pPr xmlns:w="http://schemas.openxmlformats.org/wordprocessingml/2006/main">
        <w:ind w:left="220" w:right="460"/>
        <w:spacing w:after="0" w:line="210" w:lineRule="auto"/>
        <w:rPr>
          <w:sz w:val="20"/>
          <w:szCs w:val="20"/>
          <w:color w:val="auto"/>
        </w:rPr>
      </w:pP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619760</wp:posOffset>
                </wp:positionH>
                <wp:positionV relativeFrom="page">
                  <wp:posOffset>459740</wp:posOffset>
                </wp:positionV>
                <wp:extent cx="6789420" cy="0"/>
                <wp:wrapNone/>
                <wp:docPr id="26" name="Shape 2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894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6" o:spid="_x0000_s105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8.8pt,36.2pt" to="583.4pt,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619760</wp:posOffset>
                </wp:positionH>
                <wp:positionV relativeFrom="page">
                  <wp:posOffset>807085</wp:posOffset>
                </wp:positionV>
                <wp:extent cx="6789420" cy="0"/>
                <wp:wrapNone/>
                <wp:docPr id="27" name="Shape 2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8942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27" o:spid="_x0000_s105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8.8pt,63.55pt" to="583.4pt,63.55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619760</wp:posOffset>
                </wp:positionH>
                <wp:positionV relativeFrom="page">
                  <wp:posOffset>2348230</wp:posOffset>
                </wp:positionV>
                <wp:extent cx="6789420" cy="0"/>
                <wp:wrapNone/>
                <wp:docPr id="28" name="Shape 28"/>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894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8" o:spid="_x0000_s105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8.8pt,184.9pt" to="583.4pt,184.9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619760</wp:posOffset>
                </wp:positionH>
                <wp:positionV relativeFrom="page">
                  <wp:posOffset>6959600</wp:posOffset>
                </wp:positionV>
                <wp:extent cx="6789420" cy="0"/>
                <wp:wrapNone/>
                <wp:docPr id="29" name="Shape 29"/>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894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9" o:spid="_x0000_s105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8.8pt,548pt" to="583.4pt,548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619760</wp:posOffset>
                </wp:positionH>
                <wp:positionV relativeFrom="page">
                  <wp:posOffset>7988300</wp:posOffset>
                </wp:positionV>
                <wp:extent cx="6789420" cy="0"/>
                <wp:wrapNone/>
                <wp:docPr id="30" name="Shape 30"/>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894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0" o:spid="_x0000_s1055"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8.8pt,629pt" to="583.4pt,629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622935</wp:posOffset>
                </wp:positionH>
                <wp:positionV relativeFrom="page">
                  <wp:posOffset>457200</wp:posOffset>
                </wp:positionV>
                <wp:extent cx="0" cy="8828405"/>
                <wp:wrapNone/>
                <wp:docPr id="31" name="Shape 31"/>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82840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1" o:spid="_x0000_s1056"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9.05pt,36pt" to="49.05pt,731.1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7406640</wp:posOffset>
                </wp:positionH>
                <wp:positionV relativeFrom="page">
                  <wp:posOffset>457200</wp:posOffset>
                </wp:positionV>
                <wp:extent cx="0" cy="8828405"/>
                <wp:wrapNone/>
                <wp:docPr id="32" name="Shape 3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82840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2" o:spid="_x0000_s1057"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83.2pt,36pt" to="583.2pt,731.1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w:t xml:space="preserve">ή διανομέα και δεν λαμβάνουν υπόψη την προσωπική φορολογική σας κατάσταση, η οποία μπορεί επίσης να επηρεάσει το πόσο θα πάρει πίσω.</w:t>
      </w:r>
    </w:p>
    <w:p>
      <w:pPr>
        <w:spacing w:after="0" w:line="77" w:lineRule="exact"/>
        <w:rPr>
          <w:sz w:val="20"/>
          <w:szCs w:val="20"/>
          <w:color w:val="auto"/>
        </w:rPr>
      </w:pPr>
    </w:p>
    <w:p>
      <w:pPr xmlns:w="http://schemas.openxmlformats.org/wordprocessingml/2006/main">
        <w:ind w:left="220" w:right="100"/>
        <w:spacing w:after="0" w:line="233"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Τι συμβαίνει αν η OCC δεν είναι σε θέση να πληρώσει;</w:t>
      </w:r>
      <w:r>
        <w:rPr xmlns:w="http://schemas.openxmlformats.org/wordprocessingml/2006/main">
          <w:rFonts w:ascii="Calibri" w:cs="Calibri" w:eastAsia="Calibri" w:hAnsi="Calibri"/>
          <w:sz w:val="22"/>
          <w:szCs w:val="22"/>
          <w:color w:val="auto"/>
        </w:rPr>
        <w:t xml:space="preserve"> Οι κανόνες της OCC έχουν σχεδιαστεί έτσι ώστε οι επιδόσεις σε όλα τα συμβόλαια μελλοντικής εκπλήρωσης επί βασικών εμπορευμάτων να είναι μεταξύ της OCC και ενός ομίλου εταιρειών μεσιτείας που ονομάζονται εκκαθαριστικά μέλη και οι οποίες μεταφέρουν τις θέσεις των πελατών τους στους λογαριασμούς OCC.</w:t>
      </w:r>
      <w:r>
        <w:rPr xmlns:w="http://schemas.openxmlformats.org/wordprocessingml/2006/main">
          <w:rFonts w:ascii="Calibri" w:cs="Calibri" w:eastAsia="Calibri" w:hAnsi="Calibri"/>
          <w:sz w:val="22"/>
          <w:szCs w:val="22"/>
          <w:color w:val="auto"/>
        </w:rPr>
        <w:t xml:space="preserve"> Τα εκκαθαριστικά μέλη πρέπει να πληρούν τις οικονομικές απαιτήσεις της OCC για τη συμμετοχή και να παρέχουν ασφάλεια για τις θέσεις των πελατών τους.</w:t>
      </w:r>
      <w:r>
        <w:rPr xmlns:w="http://schemas.openxmlformats.org/wordprocessingml/2006/main">
          <w:rFonts w:ascii="Calibri" w:cs="Calibri" w:eastAsia="Calibri" w:hAnsi="Calibri"/>
          <w:sz w:val="22"/>
          <w:szCs w:val="22"/>
          <w:color w:val="auto"/>
        </w:rPr>
        <w:t xml:space="preserve"> Η εταιρεία μεσιτείας ενός επενδυτή μπορεί να απαιτήσει από τον επενδυτή να παράσχει σχετική ασφάλεια σε σχέση με τις θέσεις, όπως περιγράφεται κατωτέρω.</w:t>
      </w:r>
      <w:r>
        <w:rPr xmlns:w="http://schemas.openxmlformats.org/wordprocessingml/2006/main">
          <w:rFonts w:ascii="Calibri" w:cs="Calibri" w:eastAsia="Calibri" w:hAnsi="Calibri"/>
          <w:sz w:val="22"/>
          <w:szCs w:val="22"/>
          <w:color w:val="auto"/>
        </w:rPr>
        <w:t xml:space="preserve"> Μέσω μιας διαδικασίας νομικής ανανέωσης, η OCC γίνεται ο αγοραστής σε κάθε εκκαθαριστικό μέλος του πωλητή και ο πωλητής σε κάθε εκκαθαριστικό μέλος του αγοραστή.</w:t>
      </w:r>
      <w:r>
        <w:rPr xmlns:w="http://schemas.openxmlformats.org/wordprocessingml/2006/main">
          <w:rFonts w:ascii="Calibri" w:cs="Calibri" w:eastAsia="Calibri" w:hAnsi="Calibri"/>
          <w:sz w:val="22"/>
          <w:szCs w:val="22"/>
          <w:color w:val="auto"/>
        </w:rPr>
        <w:t xml:space="preserve"> Το σύστημα αυτό αποσκοπεί στη διαχείριση του κινδύνου αντισυμβαλλομένου και στη διευκόλυνση του διακανονισμού των συναλλαγών συμβολαίων μελλοντικής εκπλήρωσης σε περίπτωση που ένα εκκαθαριστικό μέλος δεν εκπληρώνει τις υποχρεώσεις του.</w:t>
      </w:r>
      <w:r>
        <w:rPr xmlns:w="http://schemas.openxmlformats.org/wordprocessingml/2006/main">
          <w:rFonts w:ascii="Calibri" w:cs="Calibri" w:eastAsia="Calibri" w:hAnsi="Calibri"/>
          <w:sz w:val="22"/>
          <w:szCs w:val="22"/>
          <w:color w:val="auto"/>
        </w:rPr>
        <w:t xml:space="preserve"> Ωστόσο, εξακολουθεί να υπάρχει κίνδυνος η OCC να μην έχει επαρκείς οικονομικούς πόρους για να διευθετήσει τις υποχρεώσεις.</w:t>
      </w:r>
    </w:p>
    <w:p>
      <w:pPr>
        <w:sectPr>
          <w:pgSz w:w="12240" w:h="15840" w:orient="portrait"/>
          <w:cols w:equalWidth="0" w:num="1">
            <w:col w:w="10700"/>
          </w:cols>
          <w:pgMar w:left="860" w:top="774" w:right="680" w:bottom="405" w:gutter="0" w:footer="0" w:header="0"/>
        </w:sectPr>
      </w:pPr>
    </w:p>
    <w:p>
      <w:pPr>
        <w:spacing w:after="0" w:line="80" w:lineRule="exact"/>
        <w:rPr>
          <w:sz w:val="20"/>
          <w:szCs w:val="20"/>
          <w:color w:val="auto"/>
        </w:rPr>
      </w:pPr>
    </w:p>
    <w:p>
      <w:pPr xmlns:w="http://schemas.openxmlformats.org/wordprocessingml/2006/main">
        <w:ind w:left="220"/>
        <w:spacing w:after="0" w:line="237"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Ποιο είναι το κόστος;</w:t>
      </w:r>
      <w:r>
        <w:rPr xmlns:w="http://schemas.openxmlformats.org/wordprocessingml/2006/main">
          <w:rFonts w:ascii="Calibri" w:cs="Calibri" w:eastAsia="Calibri" w:hAnsi="Calibri"/>
          <w:sz w:val="22"/>
          <w:szCs w:val="22"/>
          <w:color w:val="auto"/>
        </w:rPr>
        <w:t xml:space="preserve"> Το άτομο που σας συμβουλεύει ή σας πουλάει αυτό το προϊόν μπορεί να σας χρεώσει άλλα έξοδα.</w:t>
      </w:r>
      <w:r>
        <w:rPr xmlns:w="http://schemas.openxmlformats.org/wordprocessingml/2006/main">
          <w:rFonts w:ascii="Calibri" w:cs="Calibri" w:eastAsia="Calibri" w:hAnsi="Calibri"/>
          <w:sz w:val="22"/>
          <w:szCs w:val="22"/>
          <w:color w:val="auto"/>
        </w:rPr>
        <w:t xml:space="preserve"> Αν ναι, αυτό το άτομο θα σας παρέχει πληροφορίες σχετικά με αυτές τις δαπάνες και τον τρόπο που αυτές επηρεάζουν την επένδυσή σας.</w:t>
      </w:r>
      <w:r>
        <w:rPr xmlns:w="http://schemas.openxmlformats.org/wordprocessingml/2006/main">
          <w:rFonts w:ascii="Calibri" w:cs="Calibri" w:eastAsia="Calibri" w:hAnsi="Calibri"/>
          <w:sz w:val="22"/>
          <w:szCs w:val="22"/>
          <w:color w:val="auto"/>
        </w:rPr>
        <w:t xml:space="preserve"> Το συνολικό κόστος των συμβολαίων μελλοντικής εκπλήρωσης επί βασικών εμπορευμάτων εξαρτάται από πολλαπλούς παράγοντες.</w:t>
      </w:r>
      <w:r>
        <w:rPr xmlns:w="http://schemas.openxmlformats.org/wordprocessingml/2006/main">
          <w:rFonts w:ascii="Calibri" w:cs="Calibri" w:eastAsia="Calibri" w:hAnsi="Calibri"/>
          <w:sz w:val="22"/>
          <w:szCs w:val="22"/>
          <w:color w:val="auto"/>
        </w:rPr>
        <w:t xml:space="preserve"> Η απαίτηση αρχικού περιθωρίου ασφαλείας είναι το ποσό που απαιτείται να κατατεθεί από τον επενδυτή στον μεσίτη τους προκειμένου να συνάψει το συμβόλαιο μελλοντικής εκπλήρωσης επί εμπορευμάτων.</w:t>
      </w:r>
      <w:r>
        <w:rPr xmlns:w="http://schemas.openxmlformats.org/wordprocessingml/2006/main">
          <w:rFonts w:ascii="Calibri" w:cs="Calibri" w:eastAsia="Calibri" w:hAnsi="Calibri"/>
          <w:sz w:val="22"/>
          <w:szCs w:val="22"/>
          <w:color w:val="auto"/>
        </w:rPr>
        <w:t xml:space="preserve"> Το ποσό αυτό είναι γενικά ίσο με ένα συγκεκριμένο ποσοστό της τρέχουσας αγοραίας αξίας της σύμβασης.</w:t>
      </w:r>
      <w:r>
        <w:rPr xmlns:w="http://schemas.openxmlformats.org/wordprocessingml/2006/main">
          <w:rFonts w:ascii="Calibri" w:cs="Calibri" w:eastAsia="Calibri" w:hAnsi="Calibri"/>
          <w:sz w:val="22"/>
          <w:szCs w:val="22"/>
          <w:color w:val="auto"/>
        </w:rPr>
        <w:t xml:space="preserve"> Το συμβόλαιο μελλοντικής εκπλήρωσης επί βασικών εμπορευμάτων χαρακτηρίζεται επίσης από την τρέχουσα τιμή της αγοράς τουλάχιστον σε καθημερινή βάση, και ο λογαριασμός κάθε αγοραστή θα αντικατοπτρίζει το ποσό κάθε κέρδους ή ζημίας επί του συμβολαίου με βάση την ημερήσια τιμή διακανονισμού του συμβολαίου και ενδέχεται να απαιτούνται πρόσθετες καταθέσεις περιθωρίου διαφορών αποτίμησης.</w:t>
      </w:r>
      <w:r>
        <w:rPr xmlns:w="http://schemas.openxmlformats.org/wordprocessingml/2006/main">
          <w:rFonts w:ascii="Calibri" w:cs="Calibri" w:eastAsia="Calibri" w:hAnsi="Calibri"/>
          <w:sz w:val="22"/>
          <w:szCs w:val="22"/>
          <w:color w:val="auto"/>
        </w:rPr>
        <w:t xml:space="preserve"> Οι μεμονωμένες χρηματιστηριακές εταιρείες μπορούν επίσης να απαιτούν επιπλέον περιθώριο πέρα από αυτό που απαιτείται από την OCC και τα χρηματιστήρια συμβολαίων μελλοντικής εκπλήρωσης στις ΗΠΑ.</w:t>
      </w:r>
      <w:r>
        <w:rPr xmlns:w="http://schemas.openxmlformats.org/wordprocessingml/2006/main">
          <w:rFonts w:ascii="Calibri" w:cs="Calibri" w:eastAsia="Calibri" w:hAnsi="Calibri"/>
          <w:sz w:val="22"/>
          <w:szCs w:val="22"/>
          <w:color w:val="auto"/>
        </w:rPr>
        <w:t xml:space="preserve"> Στους παράγοντες που επηρεάζουν σημαντικά την αγοραία αξία ενός συμβολαίου μελλοντικής εκπλήρωσης επί βασικών εμπορευμάτων περιλαμβάνονται, μεταξύ άλλων, η τιμή και ο χρόνος έως τη λήξη του υποκείμενου μέσου.</w:t>
      </w:r>
      <w:r>
        <w:rPr xmlns:w="http://schemas.openxmlformats.org/wordprocessingml/2006/main">
          <w:rFonts w:ascii="Calibri" w:cs="Calibri" w:eastAsia="Calibri" w:hAnsi="Calibri"/>
          <w:sz w:val="22"/>
          <w:szCs w:val="22"/>
          <w:color w:val="auto"/>
        </w:rPr>
        <w:t xml:space="preserve"> Οι επενδύσεις συμβολαίων μελλοντικής εκπλήρωσης περιλαμβάνουν πρόσθετες δαπάνες που περιλαμβάνουν φορολογικά ζητήματα,</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1" w:lineRule="exact"/>
        <w:rPr>
          <w:sz w:val="1"/>
          <w:szCs w:val="1"/>
          <w:color w:val="auto"/>
        </w:rPr>
      </w:pPr>
    </w:p>
    <w:tbl>
      <w:tblPr>
        <w:tblLayout w:type="fixed"/>
        <w:tblInd w:w="10" w:type="dxa"/>
        <w:tblCellMar>
          <w:top w:w="0" w:type="dxa"/>
          <w:left w:w="0" w:type="dxa"/>
          <w:bottom w:w="0" w:type="dxa"/>
          <w:right w:w="0" w:type="dxa"/>
        </w:tblCellMar>
      </w:tblPr>
      <w:tr>
        <w:trPr>
          <w:trHeight w:val="280"/>
        </w:trPr>
        <w:tc>
          <w:tcPr>
            <w:tcW w:w="1560" w:type="dxa"/>
            <w:vAlign w:val="bottom"/>
            <w:tcBorders>
              <w:top w:val="single" w:sz="8" w:color="auto"/>
              <w:left w:val="single" w:sz="8" w:color="auto"/>
              <w:bottom w:val="single" w:sz="8" w:color="auto"/>
              <w:right w:val="single" w:sz="8" w:color="DADADA"/>
            </w:tcBorders>
            <w:shd w:val="clear" w:color="auto" w:fill="DADADA"/>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18"/>
                <w:szCs w:val="18"/>
                <w:b w:val="1"/>
                <w:bCs w:val="1"/>
                <w:color w:val="auto"/>
              </w:rPr>
              <w:t xml:space="preserve">Διαχρονικά κόστη</w:t>
            </w:r>
          </w:p>
        </w:tc>
        <w:tc>
          <w:tcPr>
            <w:tcW w:w="80" w:type="dxa"/>
            <w:vAlign w:val="bottom"/>
            <w:tcBorders>
              <w:top w:val="single" w:sz="8" w:color="auto"/>
              <w:bottom w:val="single" w:sz="8" w:color="auto"/>
            </w:tcBorders>
            <w:shd w:val="clear" w:color="auto" w:fill="DADADA"/>
          </w:tcPr>
          <w:p>
            <w:pPr>
              <w:spacing w:after="0"/>
              <w:rPr>
                <w:sz w:val="24"/>
                <w:szCs w:val="24"/>
                <w:color w:val="auto"/>
              </w:rPr>
            </w:pPr>
          </w:p>
        </w:tc>
        <w:tc>
          <w:tcPr>
            <w:tcW w:w="240" w:type="dxa"/>
            <w:vAlign w:val="bottom"/>
            <w:tcBorders>
              <w:top w:val="single" w:sz="8" w:color="auto"/>
              <w:bottom w:val="single" w:sz="8" w:color="auto"/>
            </w:tcBorders>
            <w:shd w:val="clear" w:color="auto" w:fill="DADADA"/>
          </w:tcPr>
          <w:p>
            <w:pPr>
              <w:spacing w:after="0"/>
              <w:rPr>
                <w:sz w:val="24"/>
                <w:szCs w:val="24"/>
                <w:color w:val="auto"/>
              </w:rPr>
            </w:pPr>
          </w:p>
        </w:tc>
        <w:tc>
          <w:tcPr>
            <w:tcW w:w="480" w:type="dxa"/>
            <w:vAlign w:val="bottom"/>
            <w:tcBorders>
              <w:top w:val="single" w:sz="8" w:color="auto"/>
              <w:bottom w:val="single" w:sz="8" w:color="auto"/>
            </w:tcBorders>
            <w:shd w:val="clear" w:color="auto" w:fill="DADADA"/>
          </w:tcPr>
          <w:p>
            <w:pPr>
              <w:spacing w:after="0"/>
              <w:rPr>
                <w:sz w:val="24"/>
                <w:szCs w:val="24"/>
                <w:color w:val="auto"/>
              </w:rPr>
            </w:pPr>
          </w:p>
        </w:tc>
        <w:tc>
          <w:tcPr>
            <w:tcW w:w="960" w:type="dxa"/>
            <w:vAlign w:val="bottom"/>
            <w:tcBorders>
              <w:top w:val="single" w:sz="8" w:color="auto"/>
              <w:bottom w:val="single" w:sz="8" w:color="auto"/>
            </w:tcBorders>
            <w:shd w:val="clear" w:color="auto" w:fill="DADADA"/>
          </w:tcPr>
          <w:p>
            <w:pPr>
              <w:spacing w:after="0"/>
              <w:rPr>
                <w:sz w:val="24"/>
                <w:szCs w:val="24"/>
                <w:color w:val="auto"/>
              </w:rPr>
            </w:pPr>
          </w:p>
        </w:tc>
        <w:tc>
          <w:tcPr>
            <w:tcW w:w="400" w:type="dxa"/>
            <w:vAlign w:val="bottom"/>
            <w:tcBorders>
              <w:top w:val="single" w:sz="8" w:color="auto"/>
              <w:bottom w:val="single" w:sz="8" w:color="auto"/>
              <w:right w:val="single" w:sz="8" w:color="auto"/>
            </w:tcBorders>
            <w:shd w:val="clear" w:color="auto" w:fill="DADADA"/>
          </w:tcPr>
          <w:p>
            <w:pPr>
              <w:spacing w:after="0"/>
              <w:rPr>
                <w:sz w:val="24"/>
                <w:szCs w:val="24"/>
                <w:color w:val="auto"/>
              </w:rPr>
            </w:pPr>
          </w:p>
        </w:tc>
        <w:tc>
          <w:tcPr>
            <w:tcW w:w="1540" w:type="dxa"/>
            <w:vAlign w:val="bottom"/>
            <w:tcBorders>
              <w:top w:val="single" w:sz="8" w:color="auto"/>
              <w:bottom w:val="single" w:sz="8" w:color="auto"/>
              <w:right w:val="single" w:sz="8" w:color="auto"/>
            </w:tcBorders>
            <w:shd w:val="clear" w:color="auto" w:fill="DADADA"/>
          </w:tcPr>
          <w:p>
            <w:pPr xmlns:w="http://schemas.openxmlformats.org/wordprocessingml/2006/main">
              <w:ind w:left="80"/>
              <w:spacing w:after="0"/>
              <w:rPr>
                <w:sz w:val="20"/>
                <w:szCs w:val="20"/>
                <w:color w:val="auto"/>
              </w:rPr>
            </w:pPr>
            <w:r>
              <w:rPr xmlns:w="http://schemas.openxmlformats.org/wordprocessingml/2006/main">
                <w:rFonts w:ascii="Calibri" w:cs="Calibri" w:eastAsia="Calibri" w:hAnsi="Calibri"/>
                <w:sz w:val="18"/>
                <w:szCs w:val="18"/>
                <w:color w:val="auto"/>
              </w:rPr>
              <w:t xml:space="preserve">Αν βγείτε</w:t>
            </w:r>
          </w:p>
        </w:tc>
      </w:tr>
      <w:tr>
        <w:trPr>
          <w:trHeight w:val="249"/>
        </w:trPr>
        <w:tc>
          <w:tcPr>
            <w:tcW w:w="1560" w:type="dxa"/>
            <w:vAlign w:val="bottom"/>
            <w:tcBorders>
              <w:left w:val="single" w:sz="8" w:color="auto"/>
              <w:bottom w:val="single" w:sz="8" w:color="auto"/>
            </w:tcBorders>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18"/>
                <w:szCs w:val="18"/>
                <w:color w:val="auto"/>
              </w:rPr>
              <w:t xml:space="preserve">Συνολικές δαπάνες</w:t>
            </w:r>
          </w:p>
        </w:tc>
        <w:tc>
          <w:tcPr>
            <w:tcW w:w="80" w:type="dxa"/>
            <w:vAlign w:val="bottom"/>
            <w:tcBorders>
              <w:bottom w:val="single" w:sz="8" w:color="auto"/>
            </w:tcBorders>
          </w:tcPr>
          <w:p>
            <w:pPr>
              <w:spacing w:after="0"/>
              <w:rPr>
                <w:sz w:val="21"/>
                <w:szCs w:val="21"/>
                <w:color w:val="auto"/>
              </w:rPr>
            </w:pPr>
          </w:p>
        </w:tc>
        <w:tc>
          <w:tcPr>
            <w:tcW w:w="240" w:type="dxa"/>
            <w:vAlign w:val="bottom"/>
            <w:tcBorders>
              <w:bottom w:val="single" w:sz="8" w:color="auto"/>
            </w:tcBorders>
          </w:tcPr>
          <w:p>
            <w:pPr>
              <w:spacing w:after="0"/>
              <w:rPr>
                <w:sz w:val="21"/>
                <w:szCs w:val="21"/>
                <w:color w:val="auto"/>
              </w:rPr>
            </w:pPr>
          </w:p>
        </w:tc>
        <w:tc>
          <w:tcPr>
            <w:tcW w:w="480" w:type="dxa"/>
            <w:vAlign w:val="bottom"/>
            <w:tcBorders>
              <w:bottom w:val="single" w:sz="8" w:color="auto"/>
            </w:tcBorders>
          </w:tcPr>
          <w:p>
            <w:pPr>
              <w:spacing w:after="0"/>
              <w:rPr>
                <w:sz w:val="21"/>
                <w:szCs w:val="21"/>
                <w:color w:val="auto"/>
              </w:rPr>
            </w:pPr>
          </w:p>
        </w:tc>
        <w:tc>
          <w:tcPr>
            <w:tcW w:w="960" w:type="dxa"/>
            <w:vAlign w:val="bottom"/>
            <w:tcBorders>
              <w:bottom w:val="single" w:sz="8" w:color="auto"/>
            </w:tcBorders>
          </w:tcPr>
          <w:p>
            <w:pPr>
              <w:spacing w:after="0"/>
              <w:rPr>
                <w:sz w:val="21"/>
                <w:szCs w:val="21"/>
                <w:color w:val="auto"/>
              </w:rPr>
            </w:pPr>
          </w:p>
        </w:tc>
        <w:tc>
          <w:tcPr>
            <w:tcW w:w="400" w:type="dxa"/>
            <w:vAlign w:val="bottom"/>
            <w:tcBorders>
              <w:bottom w:val="single" w:sz="8" w:color="auto"/>
              <w:right w:val="single" w:sz="8" w:color="auto"/>
            </w:tcBorders>
          </w:tcPr>
          <w:p>
            <w:pPr>
              <w:spacing w:after="0"/>
              <w:rPr>
                <w:sz w:val="21"/>
                <w:szCs w:val="21"/>
                <w:color w:val="auto"/>
              </w:rPr>
            </w:pPr>
          </w:p>
        </w:tc>
        <w:tc>
          <w:tcPr>
            <w:tcW w:w="1540" w:type="dxa"/>
            <w:vAlign w:val="bottom"/>
            <w:tcBorders>
              <w:bottom w:val="single" w:sz="8" w:color="auto"/>
              <w:right w:val="single" w:sz="8" w:color="auto"/>
            </w:tcBorders>
          </w:tcPr>
          <w:p>
            <w:pPr xmlns:w="http://schemas.openxmlformats.org/wordprocessingml/2006/main">
              <w:ind w:left="80"/>
              <w:spacing w:after="0"/>
              <w:rPr>
                <w:sz w:val="20"/>
                <w:szCs w:val="20"/>
                <w:color w:val="auto"/>
              </w:rPr>
            </w:pPr>
            <w:r>
              <w:rPr xmlns:w="http://schemas.openxmlformats.org/wordprocessingml/2006/main">
                <w:rFonts w:ascii="Calibri" w:cs="Calibri" w:eastAsia="Calibri" w:hAnsi="Calibri"/>
                <w:sz w:val="18"/>
                <w:szCs w:val="18"/>
                <w:color w:val="auto"/>
              </w:rPr>
              <w:t xml:space="preserve">Διάφορα</w:t>
            </w:r>
          </w:p>
        </w:tc>
      </w:tr>
      <w:tr>
        <w:trPr>
          <w:trHeight w:val="244"/>
        </w:trPr>
        <w:tc>
          <w:tcPr>
            <w:tcW w:w="1560" w:type="dxa"/>
            <w:vAlign w:val="bottom"/>
            <w:tcBorders>
              <w:left w:val="single" w:sz="8" w:color="auto"/>
              <w:bottom w:val="single" w:sz="8" w:color="auto"/>
            </w:tcBorders>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18"/>
                <w:szCs w:val="18"/>
                <w:color w:val="auto"/>
                <w:w w:val="98"/>
              </w:rPr>
              <w:t xml:space="preserve">Ετήσιος αντίκτυπος κόστους</w:t>
            </w:r>
          </w:p>
        </w:tc>
        <w:tc>
          <w:tcPr>
            <w:tcW w:w="80" w:type="dxa"/>
            <w:vAlign w:val="bottom"/>
            <w:tcBorders>
              <w:bottom w:val="single" w:sz="8" w:color="auto"/>
            </w:tcBorders>
          </w:tcPr>
          <w:p>
            <w:pPr>
              <w:spacing w:after="0"/>
              <w:rPr>
                <w:sz w:val="21"/>
                <w:szCs w:val="21"/>
                <w:color w:val="auto"/>
              </w:rPr>
            </w:pPr>
          </w:p>
        </w:tc>
        <w:tc>
          <w:tcPr>
            <w:tcW w:w="240" w:type="dxa"/>
            <w:vAlign w:val="bottom"/>
            <w:tcBorders>
              <w:bottom w:val="single" w:sz="8" w:color="auto"/>
            </w:tcBorders>
          </w:tcPr>
          <w:p>
            <w:pPr>
              <w:spacing w:after="0"/>
              <w:rPr>
                <w:sz w:val="21"/>
                <w:szCs w:val="21"/>
                <w:color w:val="auto"/>
              </w:rPr>
            </w:pPr>
          </w:p>
        </w:tc>
        <w:tc>
          <w:tcPr>
            <w:tcW w:w="480" w:type="dxa"/>
            <w:vAlign w:val="bottom"/>
            <w:tcBorders>
              <w:bottom w:val="single" w:sz="8" w:color="auto"/>
            </w:tcBorders>
          </w:tcPr>
          <w:p>
            <w:pPr>
              <w:spacing w:after="0"/>
              <w:rPr>
                <w:sz w:val="21"/>
                <w:szCs w:val="21"/>
                <w:color w:val="auto"/>
              </w:rPr>
            </w:pPr>
          </w:p>
        </w:tc>
        <w:tc>
          <w:tcPr>
            <w:tcW w:w="960" w:type="dxa"/>
            <w:vAlign w:val="bottom"/>
            <w:tcBorders>
              <w:bottom w:val="single" w:sz="8" w:color="auto"/>
            </w:tcBorders>
          </w:tcPr>
          <w:p>
            <w:pPr>
              <w:spacing w:after="0"/>
              <w:rPr>
                <w:sz w:val="21"/>
                <w:szCs w:val="21"/>
                <w:color w:val="auto"/>
              </w:rPr>
            </w:pPr>
          </w:p>
        </w:tc>
        <w:tc>
          <w:tcPr>
            <w:tcW w:w="400" w:type="dxa"/>
            <w:vAlign w:val="bottom"/>
            <w:tcBorders>
              <w:bottom w:val="single" w:sz="8" w:color="auto"/>
              <w:right w:val="single" w:sz="8" w:color="auto"/>
            </w:tcBorders>
          </w:tcPr>
          <w:p>
            <w:pPr>
              <w:spacing w:after="0"/>
              <w:rPr>
                <w:sz w:val="21"/>
                <w:szCs w:val="21"/>
                <w:color w:val="auto"/>
              </w:rPr>
            </w:pPr>
          </w:p>
        </w:tc>
        <w:tc>
          <w:tcPr>
            <w:tcW w:w="1540" w:type="dxa"/>
            <w:vAlign w:val="bottom"/>
            <w:tcBorders>
              <w:bottom w:val="single" w:sz="8" w:color="auto"/>
              <w:right w:val="single" w:sz="8" w:color="auto"/>
            </w:tcBorders>
          </w:tcPr>
          <w:p>
            <w:pPr xmlns:w="http://schemas.openxmlformats.org/wordprocessingml/2006/main">
              <w:ind w:left="80"/>
              <w:spacing w:after="0"/>
              <w:rPr>
                <w:sz w:val="20"/>
                <w:szCs w:val="20"/>
                <w:color w:val="auto"/>
              </w:rPr>
            </w:pPr>
            <w:r>
              <w:rPr xmlns:w="http://schemas.openxmlformats.org/wordprocessingml/2006/main">
                <w:rFonts w:ascii="Calibri" w:cs="Calibri" w:eastAsia="Calibri" w:hAnsi="Calibri"/>
                <w:sz w:val="18"/>
                <w:szCs w:val="18"/>
                <w:color w:val="auto"/>
              </w:rPr>
              <w:t xml:space="preserve">Διάφορα</w:t>
            </w:r>
          </w:p>
        </w:tc>
      </w:tr>
      <w:tr>
        <w:trPr>
          <w:trHeight w:val="247"/>
        </w:trPr>
        <w:tc>
          <w:tcPr>
            <w:tcW w:w="1560" w:type="dxa"/>
            <w:vAlign w:val="bottom"/>
            <w:tcBorders>
              <w:bottom w:val="single" w:sz="8" w:color="auto"/>
            </w:tcBorders>
          </w:tcPr>
          <w:p>
            <w:pPr>
              <w:spacing w:after="0"/>
              <w:rPr>
                <w:sz w:val="21"/>
                <w:szCs w:val="21"/>
                <w:color w:val="auto"/>
              </w:rPr>
            </w:pPr>
          </w:p>
        </w:tc>
        <w:tc>
          <w:tcPr>
            <w:tcW w:w="80" w:type="dxa"/>
            <w:vAlign w:val="bottom"/>
            <w:tcBorders>
              <w:bottom w:val="single" w:sz="8" w:color="auto"/>
            </w:tcBorders>
          </w:tcPr>
          <w:p>
            <w:pPr>
              <w:spacing w:after="0"/>
              <w:rPr>
                <w:sz w:val="21"/>
                <w:szCs w:val="21"/>
                <w:color w:val="auto"/>
              </w:rPr>
            </w:pPr>
          </w:p>
        </w:tc>
        <w:tc>
          <w:tcPr>
            <w:tcW w:w="240" w:type="dxa"/>
            <w:vAlign w:val="bottom"/>
            <w:tcBorders>
              <w:bottom w:val="single" w:sz="8" w:color="auto"/>
            </w:tcBorders>
          </w:tcPr>
          <w:p>
            <w:pPr>
              <w:spacing w:after="0"/>
              <w:rPr>
                <w:sz w:val="21"/>
                <w:szCs w:val="21"/>
                <w:color w:val="auto"/>
              </w:rPr>
            </w:pPr>
          </w:p>
        </w:tc>
        <w:tc>
          <w:tcPr>
            <w:tcW w:w="480" w:type="dxa"/>
            <w:vAlign w:val="bottom"/>
            <w:tcBorders>
              <w:bottom w:val="single" w:sz="8" w:color="auto"/>
            </w:tcBorders>
          </w:tcPr>
          <w:p>
            <w:pPr>
              <w:spacing w:after="0"/>
              <w:rPr>
                <w:sz w:val="21"/>
                <w:szCs w:val="21"/>
                <w:color w:val="auto"/>
              </w:rPr>
            </w:pPr>
          </w:p>
        </w:tc>
        <w:tc>
          <w:tcPr>
            <w:tcW w:w="960" w:type="dxa"/>
            <w:vAlign w:val="bottom"/>
            <w:tcBorders>
              <w:bottom w:val="single" w:sz="8" w:color="auto"/>
            </w:tcBorders>
          </w:tcPr>
          <w:p>
            <w:pPr>
              <w:spacing w:after="0"/>
              <w:rPr>
                <w:sz w:val="21"/>
                <w:szCs w:val="21"/>
                <w:color w:val="auto"/>
              </w:rPr>
            </w:pPr>
          </w:p>
        </w:tc>
        <w:tc>
          <w:tcPr>
            <w:tcW w:w="400" w:type="dxa"/>
            <w:vAlign w:val="bottom"/>
            <w:tcBorders>
              <w:bottom w:val="single" w:sz="8" w:color="auto"/>
            </w:tcBorders>
          </w:tcPr>
          <w:p>
            <w:pPr>
              <w:spacing w:after="0"/>
              <w:rPr>
                <w:sz w:val="21"/>
                <w:szCs w:val="21"/>
                <w:color w:val="auto"/>
              </w:rPr>
            </w:pPr>
          </w:p>
        </w:tc>
        <w:tc>
          <w:tcPr>
            <w:tcW w:w="1540" w:type="dxa"/>
            <w:vAlign w:val="bottom"/>
            <w:tcBorders>
              <w:bottom w:val="single" w:sz="8" w:color="auto"/>
            </w:tcBorders>
          </w:tcPr>
          <w:p>
            <w:pPr>
              <w:spacing w:after="0"/>
              <w:rPr>
                <w:sz w:val="21"/>
                <w:szCs w:val="21"/>
                <w:color w:val="auto"/>
              </w:rPr>
            </w:pPr>
          </w:p>
        </w:tc>
      </w:tr>
      <w:tr>
        <w:trPr>
          <w:trHeight w:val="241"/>
        </w:trPr>
        <w:tc>
          <w:tcPr>
            <w:tcW w:w="3720" w:type="dxa"/>
            <w:vAlign w:val="bottom"/>
            <w:tcBorders>
              <w:left w:val="single" w:sz="8" w:color="auto"/>
              <w:bottom w:val="single" w:sz="8" w:color="auto"/>
              <w:right w:val="single" w:sz="8" w:color="DADADA"/>
            </w:tcBorders>
            <w:gridSpan w:val="6"/>
            <w:shd w:val="clear" w:color="auto" w:fill="DADADA"/>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18"/>
                <w:szCs w:val="18"/>
                <w:b w:val="1"/>
                <w:bCs w:val="1"/>
                <w:color w:val="auto"/>
              </w:rPr>
              <w:t xml:space="preserve">Σύνθεση των εξόδων</w:t>
            </w:r>
          </w:p>
        </w:tc>
        <w:tc>
          <w:tcPr>
            <w:tcW w:w="1540" w:type="dxa"/>
            <w:vAlign w:val="bottom"/>
            <w:tcBorders>
              <w:bottom w:val="single" w:sz="8" w:color="auto"/>
              <w:right w:val="single" w:sz="8" w:color="auto"/>
            </w:tcBorders>
            <w:shd w:val="clear" w:color="auto" w:fill="DADADA"/>
          </w:tcPr>
          <w:p>
            <w:pPr>
              <w:spacing w:after="0"/>
              <w:rPr>
                <w:sz w:val="20"/>
                <w:szCs w:val="20"/>
                <w:color w:val="auto"/>
              </w:rPr>
            </w:pPr>
          </w:p>
        </w:tc>
      </w:tr>
      <w:tr>
        <w:trPr>
          <w:trHeight w:val="249"/>
        </w:trPr>
        <w:tc>
          <w:tcPr>
            <w:tcW w:w="3720" w:type="dxa"/>
            <w:vAlign w:val="bottom"/>
            <w:tcBorders>
              <w:left w:val="single" w:sz="8" w:color="auto"/>
              <w:bottom w:val="single" w:sz="8" w:color="auto"/>
              <w:right w:val="single" w:sz="8" w:color="auto"/>
            </w:tcBorders>
            <w:gridSpan w:val="6"/>
            <w:shd w:val="clear" w:color="auto" w:fill="DADADA"/>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18"/>
                <w:szCs w:val="18"/>
                <w:color w:val="auto"/>
              </w:rPr>
              <w:t xml:space="preserve">Εφάπαξ κόστος κατά την είσοδο ή την έξοδο</w:t>
            </w:r>
          </w:p>
        </w:tc>
        <w:tc>
          <w:tcPr>
            <w:tcW w:w="1540" w:type="dxa"/>
            <w:vAlign w:val="bottom"/>
            <w:tcBorders>
              <w:bottom w:val="single" w:sz="8" w:color="auto"/>
              <w:right w:val="single" w:sz="8" w:color="auto"/>
            </w:tcBorders>
            <w:shd w:val="clear" w:color="auto" w:fill="DADADA"/>
          </w:tcPr>
          <w:p>
            <w:pPr xmlns:w="http://schemas.openxmlformats.org/wordprocessingml/2006/main">
              <w:ind w:left="80"/>
              <w:spacing w:after="0"/>
              <w:rPr>
                <w:sz w:val="20"/>
                <w:szCs w:val="20"/>
                <w:color w:val="auto"/>
              </w:rPr>
            </w:pPr>
            <w:r>
              <w:rPr xmlns:w="http://schemas.openxmlformats.org/wordprocessingml/2006/main">
                <w:rFonts w:ascii="Calibri" w:cs="Calibri" w:eastAsia="Calibri" w:hAnsi="Calibri"/>
                <w:sz w:val="18"/>
                <w:szCs w:val="18"/>
                <w:color w:val="auto"/>
              </w:rPr>
              <w:t xml:space="preserve">Ποσό (Αρχικό)</w:t>
            </w:r>
          </w:p>
        </w:tc>
      </w:tr>
      <w:tr>
        <w:trPr>
          <w:trHeight w:val="205"/>
        </w:trPr>
        <w:tc>
          <w:tcPr>
            <w:tcW w:w="1560" w:type="dxa"/>
            <w:vAlign w:val="bottom"/>
            <w:tcBorders>
              <w:left w:val="single" w:sz="8" w:color="auto"/>
              <w:right w:val="single" w:sz="8" w:color="auto"/>
            </w:tcBorders>
          </w:tcPr>
          <w:p>
            <w:pPr>
              <w:spacing w:after="0"/>
              <w:rPr>
                <w:sz w:val="17"/>
                <w:szCs w:val="17"/>
                <w:color w:val="auto"/>
              </w:rPr>
            </w:pPr>
          </w:p>
        </w:tc>
        <w:tc>
          <w:tcPr>
            <w:tcW w:w="80" w:type="dxa"/>
            <w:vAlign w:val="bottom"/>
          </w:tcPr>
          <w:p>
            <w:pPr>
              <w:spacing w:after="0"/>
              <w:rPr>
                <w:sz w:val="17"/>
                <w:szCs w:val="17"/>
                <w:color w:val="auto"/>
              </w:rPr>
            </w:pPr>
          </w:p>
        </w:tc>
        <w:tc>
          <w:tcPr>
            <w:tcW w:w="2080" w:type="dxa"/>
            <w:vAlign w:val="bottom"/>
            <w:tcBorders>
              <w:right w:val="single" w:sz="8" w:color="auto"/>
            </w:tcBorders>
            <w:gridSpan w:val="4"/>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Πριμοδότηση (προσδιοριζόμενη από</w:t>
            </w:r>
          </w:p>
        </w:tc>
        <w:tc>
          <w:tcPr>
            <w:tcW w:w="1540" w:type="dxa"/>
            <w:vAlign w:val="bottom"/>
            <w:tcBorders>
              <w:right w:val="single" w:sz="8" w:color="auto"/>
            </w:tcBorders>
          </w:tcPr>
          <w:p>
            <w:pPr>
              <w:spacing w:after="0"/>
              <w:rPr>
                <w:sz w:val="17"/>
                <w:szCs w:val="17"/>
                <w:color w:val="auto"/>
              </w:rPr>
            </w:pPr>
          </w:p>
        </w:tc>
      </w:tr>
      <w:tr>
        <w:trPr>
          <w:trHeight w:val="218"/>
        </w:trPr>
        <w:tc>
          <w:tcPr>
            <w:tcW w:w="1560" w:type="dxa"/>
            <w:vAlign w:val="bottom"/>
            <w:tcBorders>
              <w:left w:val="single" w:sz="8" w:color="auto"/>
              <w:right w:val="single" w:sz="8" w:color="auto"/>
            </w:tcBorders>
          </w:tcPr>
          <w:p>
            <w:pPr xmlns:w="http://schemas.openxmlformats.org/wordprocessingml/2006/main">
              <w:ind w:left="120"/>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Κόστος εισόδου (ανά</w:t>
            </w:r>
          </w:p>
        </w:tc>
        <w:tc>
          <w:tcPr>
            <w:tcW w:w="80" w:type="dxa"/>
            <w:vAlign w:val="bottom"/>
          </w:tcPr>
          <w:p>
            <w:pPr>
              <w:spacing w:after="0"/>
              <w:rPr>
                <w:sz w:val="18"/>
                <w:szCs w:val="18"/>
                <w:color w:val="auto"/>
              </w:rPr>
            </w:pPr>
          </w:p>
        </w:tc>
        <w:tc>
          <w:tcPr>
            <w:tcW w:w="2080" w:type="dxa"/>
            <w:vAlign w:val="bottom"/>
            <w:tcBorders>
              <w:right w:val="single" w:sz="8" w:color="auto"/>
            </w:tcBorders>
            <w:gridSpan w:val="4"/>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αγοραστής και πωλητής),</w:t>
            </w:r>
          </w:p>
        </w:tc>
        <w:tc>
          <w:tcPr>
            <w:tcW w:w="1540" w:type="dxa"/>
            <w:vAlign w:val="bottom"/>
            <w:tcBorders>
              <w:right w:val="single" w:sz="8" w:color="auto"/>
            </w:tcBorders>
          </w:tcPr>
          <w:p>
            <w:pPr>
              <w:spacing w:after="0"/>
              <w:rPr>
                <w:sz w:val="18"/>
                <w:szCs w:val="18"/>
                <w:color w:val="auto"/>
              </w:rPr>
            </w:pPr>
          </w:p>
        </w:tc>
      </w:tr>
      <w:tr>
        <w:trPr>
          <w:trHeight w:val="221"/>
        </w:trPr>
        <w:tc>
          <w:tcPr>
            <w:tcW w:w="1560" w:type="dxa"/>
            <w:vAlign w:val="bottom"/>
            <w:tcBorders>
              <w:left w:val="single" w:sz="8" w:color="auto"/>
              <w:right w:val="single" w:sz="8" w:color="auto"/>
            </w:tcBorders>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18"/>
                <w:szCs w:val="18"/>
                <w:color w:val="auto"/>
              </w:rPr>
              <w:t xml:space="preserve">συναλλαγή -</w:t>
            </w:r>
          </w:p>
        </w:tc>
        <w:tc>
          <w:tcPr>
            <w:tcW w:w="80" w:type="dxa"/>
            <w:vAlign w:val="bottom"/>
          </w:tcPr>
          <w:p>
            <w:pPr>
              <w:spacing w:after="0"/>
              <w:rPr>
                <w:sz w:val="19"/>
                <w:szCs w:val="19"/>
                <w:color w:val="auto"/>
              </w:rPr>
            </w:pPr>
          </w:p>
        </w:tc>
        <w:tc>
          <w:tcPr>
            <w:tcW w:w="2080" w:type="dxa"/>
            <w:vAlign w:val="bottom"/>
            <w:tcBorders>
              <w:right w:val="single" w:sz="8" w:color="auto"/>
            </w:tcBorders>
            <w:gridSpan w:val="4"/>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Επιτροπή (προσδιορίστηκε</w:t>
            </w:r>
          </w:p>
        </w:tc>
        <w:tc>
          <w:tcPr>
            <w:tcW w:w="1540" w:type="dxa"/>
            <w:vAlign w:val="bottom"/>
            <w:tcBorders>
              <w:right w:val="single" w:sz="8" w:color="auto"/>
            </w:tcBorders>
          </w:tcPr>
          <w:p>
            <w:pPr>
              <w:spacing w:after="0"/>
              <w:rPr>
                <w:sz w:val="19"/>
                <w:szCs w:val="19"/>
                <w:color w:val="auto"/>
              </w:rPr>
            </w:pPr>
          </w:p>
        </w:tc>
      </w:tr>
      <w:tr>
        <w:trPr>
          <w:trHeight w:val="236"/>
        </w:trPr>
        <w:tc>
          <w:tcPr>
            <w:tcW w:w="1560" w:type="dxa"/>
            <w:vAlign w:val="bottom"/>
            <w:tcBorders>
              <w:left w:val="single" w:sz="8" w:color="auto"/>
              <w:bottom w:val="single" w:sz="8" w:color="auto"/>
              <w:right w:val="single" w:sz="8" w:color="auto"/>
            </w:tcBorders>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18"/>
                <w:szCs w:val="18"/>
                <w:color w:val="auto"/>
              </w:rPr>
              <w:t xml:space="preserve">άνοιγμα (καταχώριση)</w:t>
            </w:r>
          </w:p>
        </w:tc>
        <w:tc>
          <w:tcPr>
            <w:tcW w:w="80" w:type="dxa"/>
            <w:vAlign w:val="bottom"/>
            <w:tcBorders>
              <w:bottom w:val="single" w:sz="8" w:color="auto"/>
            </w:tcBorders>
          </w:tcPr>
          <w:p>
            <w:pPr>
              <w:spacing w:after="0"/>
              <w:rPr>
                <w:sz w:val="20"/>
                <w:szCs w:val="20"/>
                <w:color w:val="auto"/>
              </w:rPr>
            </w:pPr>
          </w:p>
        </w:tc>
        <w:tc>
          <w:tcPr>
            <w:tcW w:w="2080" w:type="dxa"/>
            <w:vAlign w:val="bottom"/>
            <w:tcBorders>
              <w:bottom w:val="single" w:sz="8" w:color="auto"/>
              <w:right w:val="single" w:sz="8" w:color="auto"/>
            </w:tcBorders>
            <w:gridSpan w:val="4"/>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από μεσιτική εταιρεία)</w:t>
            </w:r>
          </w:p>
        </w:tc>
        <w:tc>
          <w:tcPr>
            <w:tcW w:w="1540" w:type="dxa"/>
            <w:vAlign w:val="bottom"/>
            <w:tcBorders>
              <w:bottom w:val="single" w:sz="8" w:color="auto"/>
              <w:right w:val="single" w:sz="8" w:color="auto"/>
            </w:tcBorders>
          </w:tcPr>
          <w:p>
            <w:pPr xmlns:w="http://schemas.openxmlformats.org/wordprocessingml/2006/main">
              <w:ind w:left="80"/>
              <w:spacing w:after="0"/>
              <w:rPr>
                <w:sz w:val="20"/>
                <w:szCs w:val="20"/>
                <w:color w:val="auto"/>
              </w:rPr>
            </w:pPr>
            <w:r>
              <w:rPr xmlns:w="http://schemas.openxmlformats.org/wordprocessingml/2006/main">
                <w:rFonts w:ascii="Calibri" w:cs="Calibri" w:eastAsia="Calibri" w:hAnsi="Calibri"/>
                <w:sz w:val="18"/>
                <w:szCs w:val="18"/>
                <w:color w:val="auto"/>
              </w:rPr>
              <w:t xml:space="preserve">Μεταβλητή</w:t>
            </w:r>
          </w:p>
        </w:tc>
      </w:tr>
      <w:tr>
        <w:trPr>
          <w:trHeight w:val="202"/>
        </w:trPr>
        <w:tc>
          <w:tcPr>
            <w:tcW w:w="1560" w:type="dxa"/>
            <w:vAlign w:val="bottom"/>
            <w:tcBorders>
              <w:left w:val="single" w:sz="8" w:color="auto"/>
              <w:right w:val="single" w:sz="8" w:color="auto"/>
            </w:tcBorders>
          </w:tcPr>
          <w:p>
            <w:pPr xmlns:w="http://schemas.openxmlformats.org/wordprocessingml/2006/main">
              <w:ind w:left="120"/>
              <w:spacing w:after="0" w:line="203" w:lineRule="exact"/>
              <w:rPr>
                <w:sz w:val="20"/>
                <w:szCs w:val="20"/>
                <w:color w:val="auto"/>
              </w:rPr>
            </w:pPr>
            <w:r>
              <w:rPr xmlns:w="http://schemas.openxmlformats.org/wordprocessingml/2006/main">
                <w:rFonts w:ascii="Calibri" w:cs="Calibri" w:eastAsia="Calibri" w:hAnsi="Calibri"/>
                <w:sz w:val="18"/>
                <w:szCs w:val="18"/>
                <w:color w:val="auto"/>
              </w:rPr>
              <w:t xml:space="preserve">Κόστος εξόδου (ανά</w:t>
            </w:r>
          </w:p>
        </w:tc>
        <w:tc>
          <w:tcPr>
            <w:tcW w:w="8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400" w:type="dxa"/>
            <w:vAlign w:val="bottom"/>
            <w:tcBorders>
              <w:right w:val="single" w:sz="8" w:color="auto"/>
            </w:tcBorders>
          </w:tcPr>
          <w:p>
            <w:pPr>
              <w:spacing w:after="0"/>
              <w:rPr>
                <w:sz w:val="17"/>
                <w:szCs w:val="17"/>
                <w:color w:val="auto"/>
              </w:rPr>
            </w:pPr>
          </w:p>
        </w:tc>
        <w:tc>
          <w:tcPr>
            <w:tcW w:w="1540" w:type="dxa"/>
            <w:vAlign w:val="bottom"/>
            <w:tcBorders>
              <w:right w:val="single" w:sz="8" w:color="auto"/>
            </w:tcBorders>
          </w:tcPr>
          <w:p>
            <w:pPr>
              <w:spacing w:after="0"/>
              <w:rPr>
                <w:sz w:val="17"/>
                <w:szCs w:val="17"/>
                <w:color w:val="auto"/>
              </w:rPr>
            </w:pPr>
          </w:p>
        </w:tc>
      </w:tr>
      <w:tr>
        <w:trPr>
          <w:trHeight w:val="221"/>
        </w:trPr>
        <w:tc>
          <w:tcPr>
            <w:tcW w:w="1560" w:type="dxa"/>
            <w:vAlign w:val="bottom"/>
            <w:tcBorders>
              <w:left w:val="single" w:sz="8" w:color="auto"/>
              <w:right w:val="single" w:sz="8" w:color="auto"/>
            </w:tcBorders>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18"/>
                <w:szCs w:val="18"/>
                <w:color w:val="auto"/>
              </w:rPr>
              <w:t xml:space="preserve">συναλλαγή -</w:t>
            </w:r>
          </w:p>
        </w:tc>
        <w:tc>
          <w:tcPr>
            <w:tcW w:w="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960" w:type="dxa"/>
            <w:vAlign w:val="bottom"/>
          </w:tcPr>
          <w:p>
            <w:pPr>
              <w:spacing w:after="0"/>
              <w:rPr>
                <w:sz w:val="19"/>
                <w:szCs w:val="19"/>
                <w:color w:val="auto"/>
              </w:rPr>
            </w:pPr>
          </w:p>
        </w:tc>
        <w:tc>
          <w:tcPr>
            <w:tcW w:w="400" w:type="dxa"/>
            <w:vAlign w:val="bottom"/>
            <w:tcBorders>
              <w:right w:val="single" w:sz="8" w:color="auto"/>
            </w:tcBorders>
          </w:tcPr>
          <w:p>
            <w:pPr>
              <w:spacing w:after="0"/>
              <w:rPr>
                <w:sz w:val="19"/>
                <w:szCs w:val="19"/>
                <w:color w:val="auto"/>
              </w:rPr>
            </w:pPr>
          </w:p>
        </w:tc>
        <w:tc>
          <w:tcPr>
            <w:tcW w:w="1540" w:type="dxa"/>
            <w:vAlign w:val="bottom"/>
            <w:tcBorders>
              <w:right w:val="single" w:sz="8" w:color="auto"/>
            </w:tcBorders>
          </w:tcPr>
          <w:p>
            <w:pPr>
              <w:spacing w:after="0"/>
              <w:rPr>
                <w:sz w:val="19"/>
                <w:szCs w:val="19"/>
                <w:color w:val="auto"/>
              </w:rPr>
            </w:pPr>
          </w:p>
        </w:tc>
      </w:tr>
      <w:tr>
        <w:trPr>
          <w:trHeight w:val="236"/>
        </w:trPr>
        <w:tc>
          <w:tcPr>
            <w:tcW w:w="1560" w:type="dxa"/>
            <w:vAlign w:val="bottom"/>
            <w:tcBorders>
              <w:left w:val="single" w:sz="8" w:color="auto"/>
              <w:bottom w:val="single" w:sz="8" w:color="auto"/>
              <w:right w:val="single" w:sz="8" w:color="auto"/>
            </w:tcBorders>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18"/>
                <w:szCs w:val="18"/>
                <w:color w:val="auto"/>
              </w:rPr>
              <w:t xml:space="preserve">κλείσιμο (έξοδος)</w:t>
            </w:r>
          </w:p>
        </w:tc>
        <w:tc>
          <w:tcPr>
            <w:tcW w:w="80" w:type="dxa"/>
            <w:vAlign w:val="bottom"/>
            <w:tcBorders>
              <w:bottom w:val="single" w:sz="8" w:color="auto"/>
            </w:tcBorders>
          </w:tcPr>
          <w:p>
            <w:pPr>
              <w:spacing w:after="0"/>
              <w:rPr>
                <w:sz w:val="20"/>
                <w:szCs w:val="20"/>
                <w:color w:val="auto"/>
              </w:rPr>
            </w:pPr>
          </w:p>
        </w:tc>
        <w:tc>
          <w:tcPr>
            <w:tcW w:w="2080" w:type="dxa"/>
            <w:vAlign w:val="bottom"/>
            <w:tcBorders>
              <w:bottom w:val="single" w:sz="8" w:color="auto"/>
              <w:right w:val="single" w:sz="8" w:color="auto"/>
            </w:tcBorders>
            <w:gridSpan w:val="4"/>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Πριμοδότηση, Επιτροπή</w:t>
            </w:r>
          </w:p>
        </w:tc>
        <w:tc>
          <w:tcPr>
            <w:tcW w:w="1540" w:type="dxa"/>
            <w:vAlign w:val="bottom"/>
            <w:tcBorders>
              <w:bottom w:val="single" w:sz="8" w:color="auto"/>
              <w:right w:val="single" w:sz="8" w:color="auto"/>
            </w:tcBorders>
          </w:tcPr>
          <w:p>
            <w:pPr xmlns:w="http://schemas.openxmlformats.org/wordprocessingml/2006/main">
              <w:ind w:left="80"/>
              <w:spacing w:after="0"/>
              <w:rPr>
                <w:sz w:val="20"/>
                <w:szCs w:val="20"/>
                <w:color w:val="auto"/>
              </w:rPr>
            </w:pPr>
            <w:r>
              <w:rPr xmlns:w="http://schemas.openxmlformats.org/wordprocessingml/2006/main">
                <w:rFonts w:ascii="Calibri" w:cs="Calibri" w:eastAsia="Calibri" w:hAnsi="Calibri"/>
                <w:sz w:val="18"/>
                <w:szCs w:val="18"/>
                <w:color w:val="auto"/>
              </w:rPr>
              <w:t xml:space="preserve">Μεταβλητή</w:t>
            </w:r>
          </w:p>
        </w:tc>
      </w:tr>
      <w:tr>
        <w:trPr>
          <w:trHeight w:val="202"/>
        </w:trPr>
        <w:tc>
          <w:tcPr>
            <w:tcW w:w="1560" w:type="dxa"/>
            <w:vAlign w:val="bottom"/>
            <w:tcBorders>
              <w:left w:val="single" w:sz="8" w:color="auto"/>
              <w:right w:val="single" w:sz="8" w:color="DADADA"/>
            </w:tcBorders>
            <w:shd w:val="clear" w:color="auto" w:fill="DADADA"/>
          </w:tcPr>
          <w:p>
            <w:pPr>
              <w:spacing w:after="0"/>
              <w:rPr>
                <w:sz w:val="17"/>
                <w:szCs w:val="17"/>
                <w:color w:val="auto"/>
              </w:rPr>
            </w:pPr>
          </w:p>
        </w:tc>
        <w:tc>
          <w:tcPr>
            <w:tcW w:w="80" w:type="dxa"/>
            <w:vAlign w:val="bottom"/>
            <w:shd w:val="clear" w:color="auto" w:fill="DADADA"/>
          </w:tcPr>
          <w:p>
            <w:pPr>
              <w:spacing w:after="0"/>
              <w:rPr>
                <w:sz w:val="17"/>
                <w:szCs w:val="17"/>
                <w:color w:val="auto"/>
              </w:rPr>
            </w:pPr>
          </w:p>
        </w:tc>
        <w:tc>
          <w:tcPr>
            <w:tcW w:w="240" w:type="dxa"/>
            <w:vAlign w:val="bottom"/>
            <w:shd w:val="clear" w:color="auto" w:fill="DADADA"/>
          </w:tcPr>
          <w:p>
            <w:pPr>
              <w:spacing w:after="0"/>
              <w:rPr>
                <w:sz w:val="17"/>
                <w:szCs w:val="17"/>
                <w:color w:val="auto"/>
              </w:rPr>
            </w:pPr>
          </w:p>
        </w:tc>
        <w:tc>
          <w:tcPr>
            <w:tcW w:w="480" w:type="dxa"/>
            <w:vAlign w:val="bottom"/>
            <w:shd w:val="clear" w:color="auto" w:fill="DADADA"/>
          </w:tcPr>
          <w:p>
            <w:pPr>
              <w:spacing w:after="0"/>
              <w:rPr>
                <w:sz w:val="17"/>
                <w:szCs w:val="17"/>
                <w:color w:val="auto"/>
              </w:rPr>
            </w:pPr>
          </w:p>
        </w:tc>
        <w:tc>
          <w:tcPr>
            <w:tcW w:w="960" w:type="dxa"/>
            <w:vAlign w:val="bottom"/>
            <w:shd w:val="clear" w:color="auto" w:fill="DADADA"/>
          </w:tcPr>
          <w:p>
            <w:pPr>
              <w:spacing w:after="0"/>
              <w:rPr>
                <w:sz w:val="17"/>
                <w:szCs w:val="17"/>
                <w:color w:val="auto"/>
              </w:rPr>
            </w:pPr>
          </w:p>
        </w:tc>
        <w:tc>
          <w:tcPr>
            <w:tcW w:w="400" w:type="dxa"/>
            <w:vAlign w:val="bottom"/>
            <w:tcBorders>
              <w:right w:val="single" w:sz="8" w:color="auto"/>
            </w:tcBorders>
            <w:shd w:val="clear" w:color="auto" w:fill="DADADA"/>
          </w:tcPr>
          <w:p>
            <w:pPr>
              <w:spacing w:after="0"/>
              <w:rPr>
                <w:sz w:val="17"/>
                <w:szCs w:val="17"/>
                <w:color w:val="auto"/>
              </w:rPr>
            </w:pPr>
          </w:p>
        </w:tc>
        <w:tc>
          <w:tcPr>
            <w:tcW w:w="1540" w:type="dxa"/>
            <w:vAlign w:val="bottom"/>
            <w:tcBorders>
              <w:right w:val="single" w:sz="8" w:color="auto"/>
            </w:tcBorders>
            <w:shd w:val="clear" w:color="auto" w:fill="DADADA"/>
          </w:tcPr>
          <w:p>
            <w:pPr xmlns:w="http://schemas.openxmlformats.org/wordprocessingml/2006/main">
              <w:ind w:left="80"/>
              <w:spacing w:after="0" w:line="203" w:lineRule="exact"/>
              <w:rPr>
                <w:sz w:val="20"/>
                <w:szCs w:val="20"/>
                <w:color w:val="auto"/>
              </w:rPr>
            </w:pPr>
            <w:r>
              <w:rPr xmlns:w="http://schemas.openxmlformats.org/wordprocessingml/2006/main">
                <w:rFonts w:ascii="Calibri" w:cs="Calibri" w:eastAsia="Calibri" w:hAnsi="Calibri"/>
                <w:sz w:val="18"/>
                <w:szCs w:val="18"/>
                <w:color w:val="auto"/>
              </w:rPr>
              <w:t xml:space="preserve">Ποσό (ανά πάσα</w:t>
            </w:r>
          </w:p>
        </w:tc>
      </w:tr>
      <w:tr>
        <w:trPr>
          <w:trHeight w:val="236"/>
        </w:trPr>
        <w:tc>
          <w:tcPr>
            <w:tcW w:w="1560" w:type="dxa"/>
            <w:vAlign w:val="bottom"/>
            <w:tcBorders>
              <w:left w:val="single" w:sz="8" w:color="auto"/>
              <w:bottom w:val="single" w:sz="8" w:color="auto"/>
              <w:right w:val="single" w:sz="8" w:color="DADADA"/>
            </w:tcBorders>
            <w:shd w:val="clear" w:color="auto" w:fill="DADADA"/>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18"/>
                <w:szCs w:val="18"/>
                <w:color w:val="auto"/>
              </w:rPr>
              <w:t xml:space="preserve">Τρέχον κόστος</w:t>
            </w:r>
          </w:p>
        </w:tc>
        <w:tc>
          <w:tcPr>
            <w:tcW w:w="80" w:type="dxa"/>
            <w:vAlign w:val="bottom"/>
            <w:tcBorders>
              <w:bottom w:val="single" w:sz="8" w:color="auto"/>
            </w:tcBorders>
            <w:shd w:val="clear" w:color="auto" w:fill="DADADA"/>
          </w:tcPr>
          <w:p>
            <w:pPr>
              <w:spacing w:after="0"/>
              <w:rPr>
                <w:sz w:val="20"/>
                <w:szCs w:val="20"/>
                <w:color w:val="auto"/>
              </w:rPr>
            </w:pPr>
          </w:p>
        </w:tc>
        <w:tc>
          <w:tcPr>
            <w:tcW w:w="240" w:type="dxa"/>
            <w:vAlign w:val="bottom"/>
            <w:tcBorders>
              <w:bottom w:val="single" w:sz="8" w:color="auto"/>
            </w:tcBorders>
            <w:shd w:val="clear" w:color="auto" w:fill="DADADA"/>
          </w:tcPr>
          <w:p>
            <w:pPr>
              <w:spacing w:after="0"/>
              <w:rPr>
                <w:sz w:val="20"/>
                <w:szCs w:val="20"/>
                <w:color w:val="auto"/>
              </w:rPr>
            </w:pPr>
          </w:p>
        </w:tc>
        <w:tc>
          <w:tcPr>
            <w:tcW w:w="480" w:type="dxa"/>
            <w:vAlign w:val="bottom"/>
            <w:tcBorders>
              <w:bottom w:val="single" w:sz="8" w:color="auto"/>
            </w:tcBorders>
            <w:shd w:val="clear" w:color="auto" w:fill="DADADA"/>
          </w:tcPr>
          <w:p>
            <w:pPr>
              <w:spacing w:after="0"/>
              <w:rPr>
                <w:sz w:val="20"/>
                <w:szCs w:val="20"/>
                <w:color w:val="auto"/>
              </w:rPr>
            </w:pPr>
          </w:p>
        </w:tc>
        <w:tc>
          <w:tcPr>
            <w:tcW w:w="960" w:type="dxa"/>
            <w:vAlign w:val="bottom"/>
            <w:tcBorders>
              <w:bottom w:val="single" w:sz="8" w:color="auto"/>
            </w:tcBorders>
            <w:shd w:val="clear" w:color="auto" w:fill="DADADA"/>
          </w:tcPr>
          <w:p>
            <w:pPr>
              <w:spacing w:after="0"/>
              <w:rPr>
                <w:sz w:val="20"/>
                <w:szCs w:val="20"/>
                <w:color w:val="auto"/>
              </w:rPr>
            </w:pPr>
          </w:p>
        </w:tc>
        <w:tc>
          <w:tcPr>
            <w:tcW w:w="400" w:type="dxa"/>
            <w:vAlign w:val="bottom"/>
            <w:tcBorders>
              <w:bottom w:val="single" w:sz="8" w:color="auto"/>
              <w:right w:val="single" w:sz="8" w:color="auto"/>
            </w:tcBorders>
            <w:shd w:val="clear" w:color="auto" w:fill="DADADA"/>
          </w:tcPr>
          <w:p>
            <w:pPr>
              <w:spacing w:after="0"/>
              <w:rPr>
                <w:sz w:val="20"/>
                <w:szCs w:val="20"/>
                <w:color w:val="auto"/>
              </w:rPr>
            </w:pPr>
          </w:p>
        </w:tc>
        <w:tc>
          <w:tcPr>
            <w:tcW w:w="1540" w:type="dxa"/>
            <w:vAlign w:val="bottom"/>
            <w:tcBorders>
              <w:bottom w:val="single" w:sz="8" w:color="auto"/>
              <w:right w:val="single" w:sz="8" w:color="auto"/>
            </w:tcBorders>
            <w:shd w:val="clear" w:color="auto" w:fill="DADADA"/>
          </w:tcPr>
          <w:p>
            <w:pPr xmlns:w="http://schemas.openxmlformats.org/wordprocessingml/2006/main">
              <w:ind w:left="80"/>
              <w:spacing w:after="0"/>
              <w:rPr>
                <w:sz w:val="20"/>
                <w:szCs w:val="20"/>
                <w:color w:val="auto"/>
              </w:rPr>
            </w:pPr>
            <w:r>
              <w:rPr xmlns:w="http://schemas.openxmlformats.org/wordprocessingml/2006/main">
                <w:rFonts w:ascii="Calibri" w:cs="Calibri" w:eastAsia="Calibri" w:hAnsi="Calibri"/>
                <w:sz w:val="18"/>
                <w:szCs w:val="18"/>
                <w:color w:val="auto"/>
              </w:rPr>
              <w:t xml:space="preserve">ώρα)</w:t>
            </w:r>
          </w:p>
        </w:tc>
      </w:tr>
      <w:tr>
        <w:trPr>
          <w:trHeight w:val="205"/>
        </w:trPr>
        <w:tc>
          <w:tcPr>
            <w:tcW w:w="1560" w:type="dxa"/>
            <w:vAlign w:val="bottom"/>
            <w:tcBorders>
              <w:left w:val="single" w:sz="8" w:color="auto"/>
              <w:right w:val="single" w:sz="8" w:color="auto"/>
            </w:tcBorders>
          </w:tcPr>
          <w:p>
            <w:pPr xmlns:w="http://schemas.openxmlformats.org/wordprocessingml/2006/main">
              <w:ind w:left="120"/>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Διαχείριση</w:t>
            </w:r>
          </w:p>
        </w:tc>
        <w:tc>
          <w:tcPr>
            <w:tcW w:w="8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400" w:type="dxa"/>
            <w:vAlign w:val="bottom"/>
            <w:tcBorders>
              <w:right w:val="single" w:sz="8" w:color="auto"/>
            </w:tcBorders>
          </w:tcPr>
          <w:p>
            <w:pPr>
              <w:spacing w:after="0"/>
              <w:rPr>
                <w:sz w:val="17"/>
                <w:szCs w:val="17"/>
                <w:color w:val="auto"/>
              </w:rPr>
            </w:pPr>
          </w:p>
        </w:tc>
        <w:tc>
          <w:tcPr>
            <w:tcW w:w="1540" w:type="dxa"/>
            <w:vAlign w:val="bottom"/>
            <w:tcBorders>
              <w:right w:val="single" w:sz="8" w:color="auto"/>
            </w:tcBorders>
          </w:tcPr>
          <w:p>
            <w:pPr>
              <w:spacing w:after="0"/>
              <w:rPr>
                <w:sz w:val="17"/>
                <w:szCs w:val="17"/>
                <w:color w:val="auto"/>
              </w:rPr>
            </w:pPr>
          </w:p>
        </w:tc>
      </w:tr>
      <w:tr>
        <w:trPr>
          <w:trHeight w:val="218"/>
        </w:trPr>
        <w:tc>
          <w:tcPr>
            <w:tcW w:w="1560" w:type="dxa"/>
            <w:vAlign w:val="bottom"/>
            <w:tcBorders>
              <w:left w:val="single" w:sz="8" w:color="auto"/>
              <w:right w:val="single" w:sz="8" w:color="auto"/>
            </w:tcBorders>
          </w:tcPr>
          <w:p>
            <w:pPr xmlns:w="http://schemas.openxmlformats.org/wordprocessingml/2006/main">
              <w:ind w:left="120"/>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τέλη και λοιπά</w:t>
            </w:r>
          </w:p>
        </w:tc>
        <w:tc>
          <w:tcPr>
            <w:tcW w:w="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400" w:type="dxa"/>
            <w:vAlign w:val="bottom"/>
            <w:tcBorders>
              <w:right w:val="single" w:sz="8" w:color="auto"/>
            </w:tcBorders>
          </w:tcPr>
          <w:p>
            <w:pPr>
              <w:spacing w:after="0"/>
              <w:rPr>
                <w:sz w:val="18"/>
                <w:szCs w:val="18"/>
                <w:color w:val="auto"/>
              </w:rPr>
            </w:pPr>
          </w:p>
        </w:tc>
        <w:tc>
          <w:tcPr>
            <w:tcW w:w="1540" w:type="dxa"/>
            <w:vAlign w:val="bottom"/>
            <w:tcBorders>
              <w:right w:val="single" w:sz="8" w:color="auto"/>
            </w:tcBorders>
          </w:tcPr>
          <w:p>
            <w:pPr>
              <w:spacing w:after="0"/>
              <w:rPr>
                <w:sz w:val="18"/>
                <w:szCs w:val="18"/>
                <w:color w:val="auto"/>
              </w:rPr>
            </w:pPr>
          </w:p>
        </w:tc>
      </w:tr>
      <w:tr>
        <w:trPr>
          <w:trHeight w:val="221"/>
        </w:trPr>
        <w:tc>
          <w:tcPr>
            <w:tcW w:w="1560" w:type="dxa"/>
            <w:vAlign w:val="bottom"/>
            <w:tcBorders>
              <w:left w:val="single" w:sz="8" w:color="auto"/>
              <w:right w:val="single" w:sz="8" w:color="auto"/>
            </w:tcBorders>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18"/>
                <w:szCs w:val="18"/>
                <w:color w:val="auto"/>
              </w:rPr>
              <w:t xml:space="preserve">διοικητικό ή</w:t>
            </w:r>
          </w:p>
        </w:tc>
        <w:tc>
          <w:tcPr>
            <w:tcW w:w="80" w:type="dxa"/>
            <w:vAlign w:val="bottom"/>
          </w:tcPr>
          <w:p>
            <w:pPr>
              <w:spacing w:after="0"/>
              <w:rPr>
                <w:sz w:val="19"/>
                <w:szCs w:val="19"/>
                <w:color w:val="auto"/>
              </w:rPr>
            </w:pPr>
          </w:p>
        </w:tc>
        <w:tc>
          <w:tcPr>
            <w:tcW w:w="2080" w:type="dxa"/>
            <w:vAlign w:val="bottom"/>
            <w:tcBorders>
              <w:right w:val="single" w:sz="8" w:color="auto"/>
            </w:tcBorders>
            <w:gridSpan w:val="4"/>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Δεν υπάρχει διαχείριση</w:t>
            </w:r>
          </w:p>
        </w:tc>
        <w:tc>
          <w:tcPr>
            <w:tcW w:w="1540" w:type="dxa"/>
            <w:vAlign w:val="bottom"/>
            <w:tcBorders>
              <w:right w:val="single" w:sz="8" w:color="auto"/>
            </w:tcBorders>
          </w:tcPr>
          <w:p>
            <w:pPr>
              <w:spacing w:after="0"/>
              <w:rPr>
                <w:sz w:val="19"/>
                <w:szCs w:val="19"/>
                <w:color w:val="auto"/>
              </w:rPr>
            </w:pPr>
          </w:p>
        </w:tc>
      </w:tr>
      <w:tr>
        <w:trPr>
          <w:trHeight w:val="208"/>
        </w:trPr>
        <w:tc>
          <w:tcPr>
            <w:tcW w:w="1560" w:type="dxa"/>
            <w:vAlign w:val="bottom"/>
            <w:tcBorders>
              <w:left w:val="single" w:sz="8" w:color="auto"/>
              <w:right w:val="single" w:sz="8" w:color="auto"/>
            </w:tcBorders>
          </w:tcPr>
          <w:p>
            <w:pPr xmlns:w="http://schemas.openxmlformats.org/wordprocessingml/2006/main">
              <w:ind w:left="120"/>
              <w:spacing w:after="0" w:line="208" w:lineRule="exact"/>
              <w:rPr>
                <w:sz w:val="20"/>
                <w:szCs w:val="20"/>
                <w:color w:val="auto"/>
              </w:rPr>
            </w:pPr>
            <w:r>
              <w:rPr xmlns:w="http://schemas.openxmlformats.org/wordprocessingml/2006/main">
                <w:rFonts w:ascii="Calibri" w:cs="Calibri" w:eastAsia="Calibri" w:hAnsi="Calibri"/>
                <w:sz w:val="18"/>
                <w:szCs w:val="18"/>
                <w:color w:val="auto"/>
              </w:rPr>
              <w:t xml:space="preserve">λειτουργικές δαπάνες</w:t>
            </w:r>
          </w:p>
        </w:tc>
        <w:tc>
          <w:tcPr>
            <w:tcW w:w="80" w:type="dxa"/>
            <w:vAlign w:val="bottom"/>
          </w:tcPr>
          <w:p>
            <w:pPr>
              <w:spacing w:after="0"/>
              <w:rPr>
                <w:sz w:val="18"/>
                <w:szCs w:val="18"/>
                <w:color w:val="auto"/>
              </w:rPr>
            </w:pPr>
          </w:p>
        </w:tc>
        <w:tc>
          <w:tcPr>
            <w:tcW w:w="2080" w:type="dxa"/>
            <w:vAlign w:val="bottom"/>
            <w:tcBorders>
              <w:right w:val="single" w:sz="8" w:color="auto"/>
            </w:tcBorders>
            <w:gridSpan w:val="4"/>
          </w:tcPr>
          <w:p>
            <w:pPr xmlns:w="http://schemas.openxmlformats.org/wordprocessingml/2006/main">
              <w:spacing w:after="0" w:line="208" w:lineRule="exact"/>
              <w:rPr>
                <w:sz w:val="20"/>
                <w:szCs w:val="20"/>
                <w:color w:val="auto"/>
              </w:rPr>
            </w:pPr>
            <w:r>
              <w:rPr xmlns:w="http://schemas.openxmlformats.org/wordprocessingml/2006/main">
                <w:rFonts w:ascii="Calibri" w:cs="Calibri" w:eastAsia="Calibri" w:hAnsi="Calibri"/>
                <w:sz w:val="18"/>
                <w:szCs w:val="18"/>
                <w:color w:val="auto"/>
              </w:rPr>
              <w:t xml:space="preserve">τέλος</w:t>
            </w:r>
          </w:p>
        </w:tc>
        <w:tc>
          <w:tcPr>
            <w:tcW w:w="1540" w:type="dxa"/>
            <w:vAlign w:val="bottom"/>
            <w:tcBorders>
              <w:right w:val="single" w:sz="8" w:color="auto"/>
            </w:tcBorders>
          </w:tcPr>
          <w:p>
            <w:pPr xmlns:w="http://schemas.openxmlformats.org/wordprocessingml/2006/main">
              <w:ind w:left="80"/>
              <w:spacing w:after="0" w:line="208" w:lineRule="exact"/>
              <w:rPr>
                <w:sz w:val="20"/>
                <w:szCs w:val="20"/>
                <w:color w:val="auto"/>
              </w:rPr>
            </w:pPr>
            <w:r>
              <w:rPr xmlns:w="http://schemas.openxmlformats.org/wordprocessingml/2006/main">
                <w:rFonts w:ascii="Calibri" w:cs="Calibri" w:eastAsia="Calibri" w:hAnsi="Calibri"/>
                <w:sz w:val="18"/>
                <w:szCs w:val="18"/>
                <w:color w:val="auto"/>
              </w:rPr>
              <w:t xml:space="preserve">Δ/Ι</w:t>
            </w:r>
          </w:p>
        </w:tc>
      </w:tr>
      <w:tr>
        <w:trPr>
          <w:trHeight w:val="20"/>
        </w:trPr>
        <w:tc>
          <w:tcPr>
            <w:tcW w:w="1560" w:type="dxa"/>
            <w:vAlign w:val="bottom"/>
            <w:tcBorders>
              <w:left w:val="single" w:sz="8" w:color="auto"/>
              <w:bottom w:val="single" w:sz="8" w:color="auto"/>
              <w:right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840" w:type="dxa"/>
            <w:vAlign w:val="bottom"/>
            <w:tcBorders>
              <w:bottom w:val="single" w:sz="8" w:color="auto"/>
              <w:right w:val="single" w:sz="8" w:color="auto"/>
            </w:tcBorders>
            <w:gridSpan w:val="3"/>
          </w:tcPr>
          <w:p>
            <w:pPr>
              <w:spacing w:after="0" w:line="20" w:lineRule="exact"/>
              <w:rPr>
                <w:sz w:val="1"/>
                <w:szCs w:val="1"/>
                <w:color w:val="auto"/>
              </w:rPr>
            </w:pPr>
          </w:p>
        </w:tc>
        <w:tc>
          <w:tcPr>
            <w:tcW w:w="1540" w:type="dxa"/>
            <w:vAlign w:val="bottom"/>
            <w:tcBorders>
              <w:bottom w:val="single" w:sz="8" w:color="auto"/>
              <w:right w:val="single" w:sz="8" w:color="auto"/>
            </w:tcBorders>
          </w:tcPr>
          <w:p>
            <w:pPr>
              <w:spacing w:after="0" w:line="20" w:lineRule="exact"/>
              <w:rPr>
                <w:sz w:val="1"/>
                <w:szCs w:val="1"/>
                <w:color w:val="auto"/>
              </w:rPr>
            </w:pPr>
          </w:p>
        </w:tc>
      </w:tr>
      <w:tr>
        <w:trPr>
          <w:trHeight w:val="190"/>
        </w:trPr>
        <w:tc>
          <w:tcPr>
            <w:tcW w:w="1560" w:type="dxa"/>
            <w:vAlign w:val="bottom"/>
            <w:tcBorders>
              <w:left w:val="single" w:sz="8" w:color="auto"/>
              <w:right w:val="single" w:sz="8" w:color="auto"/>
            </w:tcBorders>
          </w:tcPr>
          <w:p>
            <w:pPr>
              <w:spacing w:after="0"/>
              <w:rPr>
                <w:sz w:val="16"/>
                <w:szCs w:val="16"/>
                <w:color w:val="auto"/>
              </w:rPr>
            </w:pPr>
          </w:p>
        </w:tc>
        <w:tc>
          <w:tcPr>
            <w:tcW w:w="80" w:type="dxa"/>
            <w:vAlign w:val="bottom"/>
          </w:tcPr>
          <w:p>
            <w:pPr>
              <w:spacing w:after="0"/>
              <w:rPr>
                <w:sz w:val="16"/>
                <w:szCs w:val="16"/>
                <w:color w:val="auto"/>
              </w:rPr>
            </w:pPr>
          </w:p>
        </w:tc>
        <w:tc>
          <w:tcPr>
            <w:tcW w:w="2080" w:type="dxa"/>
            <w:vAlign w:val="bottom"/>
            <w:tcBorders>
              <w:right w:val="single" w:sz="8" w:color="auto"/>
            </w:tcBorders>
            <w:gridSpan w:val="4"/>
          </w:tcPr>
          <w:p>
            <w:pPr xmlns:w="http://schemas.openxmlformats.org/wordprocessingml/2006/main">
              <w:spacing w:after="0" w:line="190" w:lineRule="exact"/>
              <w:rPr>
                <w:sz w:val="20"/>
                <w:szCs w:val="20"/>
                <w:color w:val="auto"/>
              </w:rPr>
            </w:pPr>
            <w:r>
              <w:rPr xmlns:w="http://schemas.openxmlformats.org/wordprocessingml/2006/main">
                <w:rFonts w:ascii="Calibri" w:cs="Calibri" w:eastAsia="Calibri" w:hAnsi="Calibri"/>
                <w:sz w:val="18"/>
                <w:szCs w:val="18"/>
                <w:color w:val="auto"/>
              </w:rPr>
              <w:t xml:space="preserve">Περιθώριο (οι απαιτήσεις είναι</w:t>
            </w:r>
          </w:p>
        </w:tc>
        <w:tc>
          <w:tcPr>
            <w:tcW w:w="1540" w:type="dxa"/>
            <w:vAlign w:val="bottom"/>
            <w:tcBorders>
              <w:right w:val="single" w:sz="8" w:color="auto"/>
            </w:tcBorders>
          </w:tcPr>
          <w:p>
            <w:pPr>
              <w:spacing w:after="0"/>
              <w:rPr>
                <w:sz w:val="16"/>
                <w:szCs w:val="16"/>
                <w:color w:val="auto"/>
              </w:rPr>
            </w:pPr>
          </w:p>
        </w:tc>
      </w:tr>
      <w:tr>
        <w:trPr>
          <w:trHeight w:val="221"/>
        </w:trPr>
        <w:tc>
          <w:tcPr>
            <w:tcW w:w="1560" w:type="dxa"/>
            <w:vAlign w:val="bottom"/>
            <w:tcBorders>
              <w:left w:val="single" w:sz="8" w:color="auto"/>
              <w:right w:val="single" w:sz="8" w:color="auto"/>
            </w:tcBorders>
          </w:tcPr>
          <w:p>
            <w:pPr>
              <w:spacing w:after="0"/>
              <w:rPr>
                <w:sz w:val="19"/>
                <w:szCs w:val="19"/>
                <w:color w:val="auto"/>
              </w:rPr>
            </w:pPr>
          </w:p>
        </w:tc>
        <w:tc>
          <w:tcPr>
            <w:tcW w:w="80" w:type="dxa"/>
            <w:vAlign w:val="bottom"/>
          </w:tcPr>
          <w:p>
            <w:pPr>
              <w:spacing w:after="0"/>
              <w:rPr>
                <w:sz w:val="19"/>
                <w:szCs w:val="19"/>
                <w:color w:val="auto"/>
              </w:rPr>
            </w:pPr>
          </w:p>
        </w:tc>
        <w:tc>
          <w:tcPr>
            <w:tcW w:w="2080" w:type="dxa"/>
            <w:vAlign w:val="bottom"/>
            <w:tcBorders>
              <w:right w:val="single" w:sz="8" w:color="auto"/>
            </w:tcBorders>
            <w:gridSpan w:val="4"/>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υπόκεινται σε τροποποίηση, και</w:t>
            </w:r>
          </w:p>
        </w:tc>
        <w:tc>
          <w:tcPr>
            <w:tcW w:w="1540" w:type="dxa"/>
            <w:vAlign w:val="bottom"/>
            <w:tcBorders>
              <w:right w:val="single" w:sz="8" w:color="auto"/>
            </w:tcBorders>
          </w:tcPr>
          <w:p>
            <w:pPr xmlns:w="http://schemas.openxmlformats.org/wordprocessingml/2006/main">
              <w:ind w:left="80"/>
              <w:spacing w:after="0"/>
              <w:rPr>
                <w:sz w:val="20"/>
                <w:szCs w:val="20"/>
                <w:color w:val="auto"/>
              </w:rPr>
            </w:pPr>
            <w:r>
              <w:rPr xmlns:w="http://schemas.openxmlformats.org/wordprocessingml/2006/main">
                <w:rFonts w:ascii="Calibri" w:cs="Calibri" w:eastAsia="Calibri" w:hAnsi="Calibri"/>
                <w:sz w:val="18"/>
                <w:szCs w:val="18"/>
                <w:color w:val="auto"/>
              </w:rPr>
              <w:t xml:space="preserve">Μεταβλητή</w:t>
            </w:r>
          </w:p>
        </w:tc>
      </w:tr>
      <w:tr>
        <w:trPr>
          <w:trHeight w:val="208"/>
        </w:trPr>
        <w:tc>
          <w:tcPr>
            <w:tcW w:w="1560" w:type="dxa"/>
            <w:vAlign w:val="bottom"/>
            <w:tcBorders>
              <w:left w:val="single" w:sz="8" w:color="auto"/>
              <w:right w:val="single" w:sz="8" w:color="auto"/>
            </w:tcBorders>
          </w:tcPr>
          <w:p>
            <w:pPr xmlns:w="http://schemas.openxmlformats.org/wordprocessingml/2006/main">
              <w:ind w:left="120"/>
              <w:spacing w:after="0" w:line="208" w:lineRule="exact"/>
              <w:rPr>
                <w:sz w:val="20"/>
                <w:szCs w:val="20"/>
                <w:color w:val="auto"/>
              </w:rPr>
            </w:pPr>
            <w:r>
              <w:rPr xmlns:w="http://schemas.openxmlformats.org/wordprocessingml/2006/main">
                <w:rFonts w:ascii="Calibri" w:cs="Calibri" w:eastAsia="Calibri" w:hAnsi="Calibri"/>
                <w:sz w:val="18"/>
                <w:szCs w:val="18"/>
                <w:color w:val="auto"/>
              </w:rPr>
              <w:t xml:space="preserve">Κόστος συναλλαγής</w:t>
            </w:r>
          </w:p>
        </w:tc>
        <w:tc>
          <w:tcPr>
            <w:tcW w:w="80" w:type="dxa"/>
            <w:vAlign w:val="bottom"/>
          </w:tcPr>
          <w:p>
            <w:pPr>
              <w:spacing w:after="0"/>
              <w:rPr>
                <w:sz w:val="18"/>
                <w:szCs w:val="18"/>
                <w:color w:val="auto"/>
              </w:rPr>
            </w:pPr>
          </w:p>
        </w:tc>
        <w:tc>
          <w:tcPr>
            <w:tcW w:w="2080" w:type="dxa"/>
            <w:vAlign w:val="bottom"/>
            <w:tcBorders>
              <w:right w:val="single" w:sz="8" w:color="auto"/>
            </w:tcBorders>
            <w:gridSpan w:val="4"/>
          </w:tcPr>
          <w:p>
            <w:pPr xmlns:w="http://schemas.openxmlformats.org/wordprocessingml/2006/main">
              <w:spacing w:after="0" w:line="208" w:lineRule="exact"/>
              <w:rPr>
                <w:sz w:val="20"/>
                <w:szCs w:val="20"/>
                <w:color w:val="auto"/>
              </w:rPr>
            </w:pPr>
            <w:r>
              <w:rPr xmlns:w="http://schemas.openxmlformats.org/wordprocessingml/2006/main">
                <w:rFonts w:ascii="Calibri" w:cs="Calibri" w:eastAsia="Calibri" w:hAnsi="Calibri"/>
                <w:sz w:val="18"/>
                <w:szCs w:val="18"/>
                <w:color w:val="auto"/>
              </w:rPr>
              <w:t xml:space="preserve">μπορεί να διαφέρει ανάλογα με τη μεσιτεία)</w:t>
            </w:r>
          </w:p>
        </w:tc>
        <w:tc>
          <w:tcPr>
            <w:tcW w:w="1540" w:type="dxa"/>
            <w:vAlign w:val="bottom"/>
            <w:tcBorders>
              <w:right w:val="single" w:sz="8" w:color="auto"/>
            </w:tcBorders>
          </w:tcPr>
          <w:p>
            <w:pPr xmlns:w="http://schemas.openxmlformats.org/wordprocessingml/2006/main">
              <w:ind w:left="80"/>
              <w:spacing w:after="0" w:line="208" w:lineRule="exact"/>
              <w:rPr>
                <w:sz w:val="20"/>
                <w:szCs w:val="20"/>
                <w:color w:val="auto"/>
              </w:rPr>
            </w:pPr>
            <w:r>
              <w:rPr xmlns:w="http://schemas.openxmlformats.org/wordprocessingml/2006/main">
                <w:rFonts w:ascii="Calibri" w:cs="Calibri" w:eastAsia="Calibri" w:hAnsi="Calibri"/>
                <w:sz w:val="18"/>
                <w:szCs w:val="18"/>
                <w:color w:val="auto"/>
              </w:rPr>
              <w:t xml:space="preserve">(σε εξέλιξη)</w:t>
            </w:r>
          </w:p>
        </w:tc>
      </w:tr>
      <w:tr>
        <w:trPr>
          <w:trHeight w:val="20"/>
        </w:trPr>
        <w:tc>
          <w:tcPr>
            <w:tcW w:w="1560" w:type="dxa"/>
            <w:vAlign w:val="bottom"/>
            <w:tcBorders>
              <w:left w:val="single" w:sz="8" w:color="auto"/>
              <w:bottom w:val="single" w:sz="8" w:color="auto"/>
              <w:right w:val="single" w:sz="8" w:color="auto"/>
            </w:tcBorders>
          </w:tcPr>
          <w:p>
            <w:pPr>
              <w:spacing w:after="0" w:line="20" w:lineRule="exact"/>
              <w:rPr>
                <w:sz w:val="1"/>
                <w:szCs w:val="1"/>
                <w:color w:val="auto"/>
              </w:rPr>
            </w:pPr>
          </w:p>
        </w:tc>
        <w:tc>
          <w:tcPr>
            <w:tcW w:w="800" w:type="dxa"/>
            <w:vAlign w:val="bottom"/>
            <w:tcBorders>
              <w:bottom w:val="single" w:sz="8" w:color="auto"/>
            </w:tcBorders>
            <w:gridSpan w:val="3"/>
          </w:tcPr>
          <w:p>
            <w:pPr>
              <w:spacing w:after="0" w:line="20" w:lineRule="exact"/>
              <w:rPr>
                <w:sz w:val="1"/>
                <w:szCs w:val="1"/>
                <w:color w:val="auto"/>
              </w:rPr>
            </w:pPr>
          </w:p>
        </w:tc>
        <w:tc>
          <w:tcPr>
            <w:tcW w:w="96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Borders>
              <w:bottom w:val="single" w:sz="8" w:color="auto"/>
              <w:right w:val="single" w:sz="8" w:color="auto"/>
            </w:tcBorders>
          </w:tcPr>
          <w:p>
            <w:pPr>
              <w:spacing w:after="0" w:line="20" w:lineRule="exact"/>
              <w:rPr>
                <w:sz w:val="1"/>
                <w:szCs w:val="1"/>
                <w:color w:val="auto"/>
              </w:rPr>
            </w:pPr>
          </w:p>
        </w:tc>
        <w:tc>
          <w:tcPr>
            <w:tcW w:w="1540" w:type="dxa"/>
            <w:vAlign w:val="bottom"/>
            <w:tcBorders>
              <w:bottom w:val="single" w:sz="8" w:color="auto"/>
              <w:right w:val="single" w:sz="8" w:color="auto"/>
            </w:tcBorders>
          </w:tcPr>
          <w:p>
            <w:pPr>
              <w:spacing w:after="0" w:line="20" w:lineRule="exact"/>
              <w:rPr>
                <w:sz w:val="1"/>
                <w:szCs w:val="1"/>
                <w:color w:val="auto"/>
              </w:rPr>
            </w:pPr>
          </w:p>
        </w:tc>
      </w:tr>
      <w:tr>
        <w:trPr>
          <w:trHeight w:val="275"/>
        </w:trPr>
        <w:tc>
          <w:tcPr>
            <w:tcW w:w="3720" w:type="dxa"/>
            <w:vAlign w:val="bottom"/>
            <w:tcBorders>
              <w:left w:val="single" w:sz="8" w:color="auto"/>
              <w:bottom w:val="single" w:sz="8" w:color="auto"/>
              <w:right w:val="single" w:sz="8" w:color="auto"/>
            </w:tcBorders>
            <w:gridSpan w:val="6"/>
            <w:shd w:val="clear" w:color="auto" w:fill="DADADA"/>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18"/>
                <w:szCs w:val="18"/>
                <w:color w:val="auto"/>
                <w:highlight w:val="lightGray"/>
              </w:rPr>
              <w:t xml:space="preserve">Παρεμπίπτοντα έξοδα που αναλαμβάνονται υπό ειδικές συνθήκες</w:t>
            </w:r>
          </w:p>
        </w:tc>
        <w:tc>
          <w:tcPr>
            <w:tcW w:w="1540" w:type="dxa"/>
            <w:vAlign w:val="bottom"/>
            <w:tcBorders>
              <w:bottom w:val="single" w:sz="8" w:color="auto"/>
              <w:right w:val="single" w:sz="8" w:color="auto"/>
            </w:tcBorders>
            <w:shd w:val="clear" w:color="auto" w:fill="DADADA"/>
          </w:tcPr>
          <w:p>
            <w:pPr>
              <w:spacing w:after="0"/>
              <w:rPr>
                <w:sz w:val="23"/>
                <w:szCs w:val="23"/>
                <w:color w:val="auto"/>
              </w:rPr>
            </w:pPr>
          </w:p>
        </w:tc>
      </w:tr>
      <w:tr>
        <w:trPr>
          <w:trHeight w:val="290"/>
        </w:trPr>
        <w:tc>
          <w:tcPr>
            <w:tcW w:w="1560" w:type="dxa"/>
            <w:vAlign w:val="bottom"/>
            <w:tcBorders>
              <w:left w:val="single" w:sz="8" w:color="auto"/>
              <w:bottom w:val="single" w:sz="8" w:color="auto"/>
              <w:right w:val="single" w:sz="8" w:color="auto"/>
            </w:tcBorders>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18"/>
                <w:szCs w:val="18"/>
                <w:color w:val="auto"/>
              </w:rPr>
              <w:t xml:space="preserve">Τέλη εκτέλεσης</w:t>
            </w:r>
          </w:p>
        </w:tc>
        <w:tc>
          <w:tcPr>
            <w:tcW w:w="80" w:type="dxa"/>
            <w:vAlign w:val="bottom"/>
            <w:tcBorders>
              <w:bottom w:val="single" w:sz="8" w:color="auto"/>
            </w:tcBorders>
          </w:tcPr>
          <w:p>
            <w:pPr>
              <w:spacing w:after="0"/>
              <w:rPr>
                <w:sz w:val="24"/>
                <w:szCs w:val="24"/>
                <w:color w:val="auto"/>
              </w:rPr>
            </w:pPr>
          </w:p>
        </w:tc>
        <w:tc>
          <w:tcPr>
            <w:tcW w:w="2080" w:type="dxa"/>
            <w:vAlign w:val="bottom"/>
            <w:tcBorders>
              <w:bottom w:val="single" w:sz="8" w:color="auto"/>
              <w:right w:val="single" w:sz="8" w:color="auto"/>
            </w:tcBorders>
            <w:gridSpan w:val="4"/>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Κανένα</w:t>
            </w:r>
          </w:p>
        </w:tc>
        <w:tc>
          <w:tcPr>
            <w:tcW w:w="1540" w:type="dxa"/>
            <w:vAlign w:val="bottom"/>
            <w:tcBorders>
              <w:bottom w:val="single" w:sz="8" w:color="auto"/>
              <w:right w:val="single" w:sz="8" w:color="auto"/>
            </w:tcBorders>
          </w:tcPr>
          <w:p>
            <w:pPr xmlns:w="http://schemas.openxmlformats.org/wordprocessingml/2006/main">
              <w:ind w:left="80"/>
              <w:spacing w:after="0"/>
              <w:rPr>
                <w:sz w:val="20"/>
                <w:szCs w:val="20"/>
                <w:color w:val="auto"/>
              </w:rPr>
            </w:pPr>
            <w:r>
              <w:rPr xmlns:w="http://schemas.openxmlformats.org/wordprocessingml/2006/main">
                <w:rFonts w:ascii="Calibri" w:cs="Calibri" w:eastAsia="Calibri" w:hAnsi="Calibri"/>
                <w:sz w:val="18"/>
                <w:szCs w:val="18"/>
                <w:color w:val="auto"/>
              </w:rPr>
              <w:t xml:space="preserve">Δ/Ι</w:t>
            </w:r>
          </w:p>
        </w:tc>
      </w:tr>
    </w:tbl>
    <w:p>
      <w:pPr>
        <w:spacing w:after="0" w:line="99" w:lineRule="exact"/>
        <w:rPr>
          <w:sz w:val="20"/>
          <w:szCs w:val="20"/>
          <w:color w:val="auto"/>
        </w:rPr>
      </w:pPr>
    </w:p>
    <w:p>
      <w:pPr>
        <w:sectPr>
          <w:pgSz w:w="12240" w:h="15840" w:orient="portrait"/>
          <w:cols w:equalWidth="0" w:num="2">
            <w:col w:w="5280" w:space="180"/>
            <w:col w:w="5240"/>
          </w:cols>
          <w:pgMar w:left="860" w:top="774" w:right="680" w:bottom="405" w:gutter="0" w:footer="0" w:header="0"/>
          <w:type w:val="continuous"/>
        </w:sectPr>
      </w:pPr>
    </w:p>
    <w:p>
      <w:pPr xmlns:w="http://schemas.openxmlformats.org/wordprocessingml/2006/main">
        <w:ind w:left="220" w:right="320"/>
        <w:spacing w:after="0" w:line="228" w:lineRule="auto"/>
        <w:rPr>
          <w:sz w:val="20"/>
          <w:szCs w:val="20"/>
          <w:color w:val="auto"/>
        </w:rPr>
      </w:pPr>
      <w:r>
        <w:rPr xmlns:w="http://schemas.openxmlformats.org/wordprocessingml/2006/main">
          <w:rFonts w:ascii="Calibri" w:cs="Calibri" w:eastAsia="Calibri" w:hAnsi="Calibri"/>
          <w:sz w:val="22"/>
          <w:szCs w:val="22"/>
          <w:color w:val="auto"/>
        </w:rPr>
        <w:t xml:space="preserve">κόστος συναλλαγής και απαιτήσεις περιθωρίου κέρδους που μπορούν να επηρεάσουν σημαντικά τα αποτελέσματα.</w:t>
      </w:r>
      <w:r>
        <w:rPr xmlns:w="http://schemas.openxmlformats.org/wordprocessingml/2006/main">
          <w:rFonts w:ascii="Calibri" w:cs="Calibri" w:eastAsia="Calibri" w:hAnsi="Calibri"/>
          <w:sz w:val="22"/>
          <w:szCs w:val="22"/>
          <w:color w:val="auto"/>
        </w:rPr>
        <w:t xml:space="preserve"> Το κόστος συναλλαγής αποτελείται κυρίως από προμήθειες, αλλά μπορεί επίσης να περιλαμβάνει το περιθώριο κέρδους και το κόστος επιτοκίου.</w:t>
      </w:r>
      <w:r>
        <w:rPr xmlns:w="http://schemas.openxmlformats.org/wordprocessingml/2006/main">
          <w:rFonts w:ascii="Calibri" w:cs="Calibri" w:eastAsia="Calibri" w:hAnsi="Calibri"/>
          <w:sz w:val="22"/>
          <w:szCs w:val="22"/>
          <w:color w:val="auto"/>
        </w:rPr>
        <w:t xml:space="preserve"> Αν ένας επενδυτής ρευστοποιήσει μια θέση συμβολαίου μελλοντικής εκπλήρωσης επί εμπορευμάτων, μπορεί να υποστεί πρόσθετο κόστος.</w:t>
      </w:r>
      <w:r>
        <w:rPr xmlns:w="http://schemas.openxmlformats.org/wordprocessingml/2006/main">
          <w:rFonts w:ascii="Calibri" w:cs="Calibri" w:eastAsia="Calibri" w:hAnsi="Calibri"/>
          <w:sz w:val="22"/>
          <w:szCs w:val="22"/>
          <w:color w:val="auto"/>
        </w:rPr>
        <w:t xml:space="preserve"> Ξεχωριστά από το κόστος των επενδυτών, OCC επιβαρύνσεις που σχετίζονται με τα τέλη για την εκκαθάριση αυτού του προϊόντος στα εκκαθαριστικά μέλη της, αλλά όχι απευθείας σε σας:</w:t>
      </w:r>
      <w:r>
        <w:rPr xmlns:w="http://schemas.openxmlformats.org/wordprocessingml/2006/main">
          <w:rFonts w:ascii="Calibri" w:cs="Calibri" w:eastAsia="Calibri" w:hAnsi="Calibri"/>
          <w:sz w:val="22"/>
          <w:szCs w:val="22"/>
          <w:color w:val="0563C1"/>
        </w:rPr>
        <w:t xml:space="preserve"> </w:t>
      </w:r>
      <w:r>
        <w:rPr xmlns:w="http://schemas.openxmlformats.org/wordprocessingml/2006/main">
          <w:rFonts w:ascii="Calibri" w:cs="Calibri" w:eastAsia="Calibri" w:hAnsi="Calibri"/>
          <w:sz w:val="22"/>
          <w:szCs w:val="22"/>
          <w:u w:val="single" w:color="auto"/>
          <w:color w:val="0563C1"/>
        </w:rPr>
        <w:t xml:space="preserve">https://www.theocc.com/company-information/schedule-of-fees</w:t>
      </w:r>
      <w:r>
        <w:rPr xmlns:w="http://schemas.openxmlformats.org/wordprocessingml/2006/main">
          <w:rFonts w:ascii="Calibri" w:cs="Calibri" w:eastAsia="Calibri" w:hAnsi="Calibri"/>
          <w:sz w:val="22"/>
          <w:szCs w:val="22"/>
          <w:color w:val="000000"/>
        </w:rPr>
        <w:t xml:space="preserve">.</w:t>
      </w:r>
    </w:p>
    <w:p>
      <w:pPr>
        <w:spacing w:after="0" w:line="11" w:lineRule="exact"/>
        <w:rPr>
          <w:sz w:val="20"/>
          <w:szCs w:val="20"/>
          <w:color w:val="auto"/>
        </w:rPr>
      </w:pP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Πόσο καιρό θα πρέπει να το κρατήσει και μπορώ να βγω από μια συναλλαγή νωρίς (μπορώ να πάρω τα χρήματα έξω νωρίς);</w:t>
      </w:r>
    </w:p>
    <w:p>
      <w:pPr>
        <w:spacing w:after="0" w:line="67" w:lineRule="exact"/>
        <w:rPr>
          <w:sz w:val="20"/>
          <w:szCs w:val="20"/>
          <w:color w:val="auto"/>
        </w:rPr>
      </w:pPr>
    </w:p>
    <w:p>
      <w:pPr xmlns:w="http://schemas.openxmlformats.org/wordprocessingml/2006/main">
        <w:ind w:left="220" w:right="40"/>
        <w:spacing w:after="0" w:line="227"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Συνιστώμενη περίοδος διατήρησης:</w:t>
      </w:r>
      <w:r>
        <w:rPr xmlns:w="http://schemas.openxmlformats.org/wordprocessingml/2006/main">
          <w:rFonts w:ascii="Calibri" w:cs="Calibri" w:eastAsia="Calibri" w:hAnsi="Calibri"/>
          <w:sz w:val="22"/>
          <w:szCs w:val="22"/>
          <w:b w:val="1"/>
          <w:bCs w:val="1"/>
          <w:color w:val="auto"/>
        </w:rPr>
        <w:t xml:space="preserve"> Καμία.</w:t>
      </w:r>
      <w:r>
        <w:rPr xmlns:w="http://schemas.openxmlformats.org/wordprocessingml/2006/main">
          <w:rFonts w:ascii="Calibri" w:cs="Calibri" w:eastAsia="Calibri" w:hAnsi="Calibri"/>
          <w:sz w:val="22"/>
          <w:szCs w:val="22"/>
          <w:color w:val="auto"/>
        </w:rPr>
        <w:t xml:space="preserve"> Οι επενδυτές έχουν την αποκλειστική ευθύνη να καθορίζουν αν και πότε θα πρέπει να κλείσουν μια θέση συμβολαίων μελλοντικής εκπλήρωσης επί βασικών εμπορευμάτων ή να διατηρήσουν μια θέση έως τη λήξη της.</w:t>
      </w:r>
      <w:r>
        <w:rPr xmlns:w="http://schemas.openxmlformats.org/wordprocessingml/2006/main">
          <w:rFonts w:ascii="Calibri" w:cs="Calibri" w:eastAsia="Calibri" w:hAnsi="Calibri"/>
          <w:sz w:val="22"/>
          <w:szCs w:val="22"/>
          <w:color w:val="auto"/>
        </w:rPr>
        <w:t xml:space="preserve"> Οι επενδυτές που κλείνουν μια θέση συμβολαίων μελλοντικής εκπλήρωσης επί εμπορευμάτων παραιτούνται από κάθε μεταγενέστερο κέρδος ή ζημία που σχετίζεται με τη θέση.</w:t>
      </w:r>
      <w:r>
        <w:rPr xmlns:w="http://schemas.openxmlformats.org/wordprocessingml/2006/main">
          <w:rFonts w:ascii="Calibri" w:cs="Calibri" w:eastAsia="Calibri" w:hAnsi="Calibri"/>
          <w:sz w:val="22"/>
          <w:szCs w:val="22"/>
          <w:color w:val="auto"/>
        </w:rPr>
        <w:t xml:space="preserve"> Όλα τα συμβόλαια μελλοντικής εκπλήρωσης επί βασικών εμπορευμάτων έχουν ημερομηνία λήξης, μετά την οποία η σύμβαση παύει να υφίσταται.</w:t>
      </w:r>
      <w:r>
        <w:rPr xmlns:w="http://schemas.openxmlformats.org/wordprocessingml/2006/main">
          <w:rFonts w:ascii="Calibri" w:cs="Calibri" w:eastAsia="Calibri" w:hAnsi="Calibri"/>
          <w:sz w:val="22"/>
          <w:szCs w:val="22"/>
          <w:color w:val="auto"/>
        </w:rPr>
        <w:t xml:space="preserve"> Ένας επενδυτής μπορεί να κλείσει μια ανοικτή θέση σε ένα συμβόλαιο μελλοντικής εκπλήρωσης επί βασικών εμπορευμάτων με τη σύναψη μιας συναλλαγής αντιστάθμισης πριν από τη λήξη της σύμβασης.</w:t>
      </w:r>
    </w:p>
    <w:p>
      <w:pPr>
        <w:spacing w:after="0" w:line="81" w:lineRule="exact"/>
        <w:rPr>
          <w:sz w:val="20"/>
          <w:szCs w:val="20"/>
          <w:color w:val="auto"/>
        </w:rPr>
      </w:pPr>
    </w:p>
    <w:p>
      <w:pPr xmlns:w="http://schemas.openxmlformats.org/wordprocessingml/2006/main">
        <w:ind w:left="220" w:right="920"/>
        <w:spacing w:after="0" w:line="220"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Πώς μπορώ να παραπονεθώ;</w:t>
      </w:r>
      <w:r>
        <w:rPr xmlns:w="http://schemas.openxmlformats.org/wordprocessingml/2006/main">
          <w:rFonts w:ascii="Calibri" w:cs="Calibri" w:eastAsia="Calibri" w:hAnsi="Calibri"/>
          <w:sz w:val="22"/>
          <w:szCs w:val="22"/>
          <w:color w:val="auto"/>
        </w:rPr>
        <w:t xml:space="preserve"> Οι επενδυτές μπορούν να επικοινωνούν με την OCC στη διεύθυνση </w:t>
      </w:r>
      <w:r>
        <w:rPr xmlns:w="http://schemas.openxmlformats.org/wordprocessingml/2006/main">
          <w:rFonts w:ascii="Calibri" w:cs="Calibri" w:eastAsia="Calibri" w:hAnsi="Calibri"/>
          <w:sz w:val="22"/>
          <w:szCs w:val="22"/>
          <w:u w:val="single" w:color="auto"/>
          <w:color w:val="0563C1"/>
        </w:rPr>
        <w:t xml:space="preserve">investorservices@theocc.com</w:t>
      </w: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color w:val="auto"/>
        </w:rPr>
        <w:t xml:space="preserve"> Οι επενδυτές μπορούν επίσης να υποβάλουν καταγγελία στην NFA (</w:t>
      </w:r>
      <w:r>
        <w:rPr xmlns:w="http://schemas.openxmlformats.org/wordprocessingml/2006/main">
          <w:rFonts w:ascii="Calibri" w:cs="Calibri" w:eastAsia="Calibri" w:hAnsi="Calibri"/>
          <w:sz w:val="22"/>
          <w:szCs w:val="22"/>
          <w:u w:val="single" w:color="auto"/>
          <w:color w:val="0563C1"/>
        </w:rPr>
        <w:t xml:space="preserve">https://www.nfa.futures.org/basicnet/complaint.aspx</w:t>
      </w:r>
      <w:r>
        <w:rPr xmlns:w="http://schemas.openxmlformats.org/wordprocessingml/2006/main">
          <w:rFonts w:ascii="Calibri" w:cs="Calibri" w:eastAsia="Calibri" w:hAnsi="Calibri"/>
          <w:sz w:val="22"/>
          <w:szCs w:val="22"/>
          <w:color w:val="auto"/>
        </w:rPr>
        <w:t xml:space="preserve">) ή στην CFTC (</w:t>
      </w:r>
      <w:r>
        <w:rPr xmlns:w="http://schemas.openxmlformats.org/wordprocessingml/2006/main">
          <w:rFonts w:ascii="Calibri" w:cs="Calibri" w:eastAsia="Calibri" w:hAnsi="Calibri"/>
          <w:sz w:val="22"/>
          <w:szCs w:val="22"/>
          <w:u w:val="single" w:color="auto"/>
          <w:color w:val="0563C1"/>
        </w:rPr>
        <w:t xml:space="preserve">http://www.cftc.gov/ConsumerProtection/FileaTiporComplaint/index.htm</w:t>
      </w:r>
      <w:r>
        <w:rPr xmlns:w="http://schemas.openxmlformats.org/wordprocessingml/2006/main">
          <w:rFonts w:ascii="Calibri" w:cs="Calibri" w:eastAsia="Calibri" w:hAnsi="Calibri"/>
          <w:sz w:val="22"/>
          <w:szCs w:val="22"/>
          <w:color w:val="auto"/>
        </w:rPr>
        <w:t xml:space="preserve">).</w:t>
      </w:r>
    </w:p>
    <w:p>
      <w:pPr>
        <w:spacing w:after="0" w:line="5" w:lineRule="exact"/>
        <w:rPr>
          <w:sz w:val="20"/>
          <w:szCs w:val="20"/>
          <w:color w:val="auto"/>
        </w:rPr>
      </w:pPr>
    </w:p>
    <w:p>
      <w:pPr xmlns:w="http://schemas.openxmlformats.org/wordprocessingml/2006/main">
        <w:ind w:left="340"/>
        <w:spacing w:after="0"/>
        <w:tabs>
          <w:tab w:leader="none" w:pos="4780" w:val="left"/>
        </w:tabs>
        <w:rPr>
          <w:sz w:val="20"/>
          <w:szCs w:val="20"/>
          <w:color w:val="auto"/>
        </w:rPr>
      </w:pPr>
      <w:r>
        <w:rPr xmlns:w="http://schemas.openxmlformats.org/wordprocessingml/2006/main">
          <w:rFonts w:ascii="Calibri" w:cs="Calibri" w:eastAsia="Calibri" w:hAnsi="Calibri"/>
          <w:sz w:val="20"/>
          <w:szCs w:val="20"/>
          <w:color w:val="auto"/>
        </w:rPr>
        <w:t xml:space="preserve">Εθνική Ένωση Συμβολαίων Μελλοντικής Εκπλήρωσης</w:t>
        <w:tab xmlns:w="http://schemas.openxmlformats.org/wordprocessingml/2006/main"/>
      </w:r>
      <w:r>
        <w:rPr xmlns:w="http://schemas.openxmlformats.org/wordprocessingml/2006/main">
          <w:rFonts w:ascii="Calibri" w:cs="Calibri" w:eastAsia="Calibri" w:hAnsi="Calibri"/>
          <w:sz w:val="19"/>
          <w:szCs w:val="19"/>
          <w:color w:val="auto"/>
        </w:rPr>
        <w:t xml:space="preserve">ΗΠΑ</w:t>
      </w:r>
      <w:r>
        <w:rPr xmlns:w="http://schemas.openxmlformats.org/wordprocessingml/2006/main">
          <w:rFonts w:ascii="Calibri" w:cs="Calibri" w:eastAsia="Calibri" w:hAnsi="Calibri"/>
          <w:sz w:val="19"/>
          <w:szCs w:val="19"/>
          <w:color w:val="auto"/>
        </w:rPr>
        <w:t xml:space="preserve"> Επιτροπή διαπραγμάτευσης συμβολαίων μελλοντικής εκπλήρωσης επί εμπορευμάτων</w:t>
      </w:r>
    </w:p>
    <w:p>
      <w:pPr xmlns:w="http://schemas.openxmlformats.org/wordprocessingml/2006/main">
        <w:ind w:left="340"/>
        <w:spacing w:after="0"/>
        <w:tabs>
          <w:tab w:leader="none" w:pos="4780" w:val="left"/>
        </w:tabs>
        <w:rPr>
          <w:sz w:val="20"/>
          <w:szCs w:val="20"/>
          <w:color w:val="auto"/>
        </w:rPr>
      </w:pPr>
      <w:r>
        <w:rPr xmlns:w="http://schemas.openxmlformats.org/wordprocessingml/2006/main">
          <w:rFonts w:ascii="Calibri" w:cs="Calibri" w:eastAsia="Calibri" w:hAnsi="Calibri"/>
          <w:sz w:val="20"/>
          <w:szCs w:val="20"/>
          <w:color w:val="auto"/>
        </w:rPr>
        <w:t xml:space="preserve">300 S. Riverside Plaza, #1800</w:t>
        <w:tab xmlns:w="http://schemas.openxmlformats.org/wordprocessingml/2006/main"/>
      </w:r>
      <w:r>
        <w:rPr xmlns:w="http://schemas.openxmlformats.org/wordprocessingml/2006/main">
          <w:rFonts w:ascii="Calibri" w:cs="Calibri" w:eastAsia="Calibri" w:hAnsi="Calibri"/>
          <w:sz w:val="19"/>
          <w:szCs w:val="19"/>
          <w:color w:val="auto"/>
        </w:rPr>
        <w:t xml:space="preserve">Κέντρο Three Lafayette</w:t>
      </w:r>
    </w:p>
    <w:p>
      <w:pPr>
        <w:spacing w:after="0" w:line="1" w:lineRule="exact"/>
        <w:rPr>
          <w:sz w:val="20"/>
          <w:szCs w:val="20"/>
          <w:color w:val="auto"/>
        </w:rPr>
      </w:pPr>
    </w:p>
    <w:p>
      <w:pPr xmlns:w="http://schemas.openxmlformats.org/wordprocessingml/2006/main">
        <w:ind w:left="340"/>
        <w:spacing w:after="0"/>
        <w:tabs>
          <w:tab w:leader="none" w:pos="4780" w:val="left"/>
        </w:tabs>
        <w:rPr>
          <w:sz w:val="20"/>
          <w:szCs w:val="20"/>
          <w:color w:val="auto"/>
        </w:rPr>
      </w:pPr>
      <w:r>
        <w:rPr xmlns:w="http://schemas.openxmlformats.org/wordprocessingml/2006/main">
          <w:rFonts w:ascii="Calibri" w:cs="Calibri" w:eastAsia="Calibri" w:hAnsi="Calibri"/>
          <w:sz w:val="20"/>
          <w:szCs w:val="20"/>
          <w:color w:val="auto"/>
        </w:rPr>
        <w:t xml:space="preserve">Σικάγο, IL 60606-6615</w:t>
        <w:tab xmlns:w="http://schemas.openxmlformats.org/wordprocessingml/2006/main"/>
      </w:r>
      <w:r>
        <w:rPr xmlns:w="http://schemas.openxmlformats.org/wordprocessingml/2006/main">
          <w:rFonts w:ascii="Calibri" w:cs="Calibri" w:eastAsia="Calibri" w:hAnsi="Calibri"/>
          <w:sz w:val="19"/>
          <w:szCs w:val="19"/>
          <w:color w:val="auto"/>
        </w:rPr>
        <w:t xml:space="preserve">1155 21η οδός, NW</w:t>
      </w:r>
    </w:p>
    <w:p>
      <w:pPr>
        <w:spacing w:after="0" w:line="1" w:lineRule="exact"/>
        <w:rPr>
          <w:sz w:val="20"/>
          <w:szCs w:val="20"/>
          <w:color w:val="auto"/>
        </w:rPr>
      </w:pPr>
    </w:p>
    <w:p>
      <w:pPr xmlns:w="http://schemas.openxmlformats.org/wordprocessingml/2006/main">
        <w:ind w:left="340"/>
        <w:spacing w:after="0"/>
        <w:tabs>
          <w:tab w:leader="none" w:pos="4780" w:val="left"/>
        </w:tabs>
        <w:rPr>
          <w:sz w:val="20"/>
          <w:szCs w:val="20"/>
          <w:color w:val="auto"/>
        </w:rPr>
      </w:pPr>
      <w:r>
        <w:rPr xmlns:w="http://schemas.openxmlformats.org/wordprocessingml/2006/main">
          <w:rFonts w:ascii="Calibri" w:cs="Calibri" w:eastAsia="Calibri" w:hAnsi="Calibri"/>
          <w:sz w:val="20"/>
          <w:szCs w:val="20"/>
          <w:color w:val="auto"/>
        </w:rPr>
        <w:t xml:space="preserve">Τηλέφωνο:</w:t>
      </w:r>
      <w:r>
        <w:rPr xmlns:w="http://schemas.openxmlformats.org/wordprocessingml/2006/main">
          <w:rFonts w:ascii="Calibri" w:cs="Calibri" w:eastAsia="Calibri" w:hAnsi="Calibri"/>
          <w:sz w:val="20"/>
          <w:szCs w:val="20"/>
          <w:color w:val="auto"/>
        </w:rPr>
        <w:t xml:space="preserve"> 312-781-1300</w:t>
        <w:tab xmlns:w="http://schemas.openxmlformats.org/wordprocessingml/2006/main"/>
      </w:r>
      <w:r>
        <w:rPr xmlns:w="http://schemas.openxmlformats.org/wordprocessingml/2006/main">
          <w:rFonts w:ascii="Calibri" w:cs="Calibri" w:eastAsia="Calibri" w:hAnsi="Calibri"/>
          <w:sz w:val="19"/>
          <w:szCs w:val="19"/>
          <w:color w:val="auto"/>
        </w:rPr>
        <w:t xml:space="preserve">Ουάσινγκτον, DC 20581</w:t>
      </w:r>
    </w:p>
    <w:p>
      <w:pPr>
        <w:spacing w:after="0" w:line="1" w:lineRule="exact"/>
        <w:rPr>
          <w:sz w:val="20"/>
          <w:szCs w:val="20"/>
          <w:color w:val="auto"/>
        </w:rPr>
      </w:pPr>
    </w:p>
    <w:p>
      <w:pPr xmlns:w="http://schemas.openxmlformats.org/wordprocessingml/2006/main">
        <w:ind w:left="340"/>
        <w:spacing w:after="0"/>
        <w:tabs>
          <w:tab w:leader="none" w:pos="4780" w:val="left"/>
        </w:tabs>
        <w:rPr>
          <w:sz w:val="20"/>
          <w:szCs w:val="20"/>
          <w:color w:val="auto"/>
        </w:rPr>
      </w:pPr>
      <w:r>
        <w:rPr xmlns:w="http://schemas.openxmlformats.org/wordprocessingml/2006/main">
          <w:rFonts w:ascii="Calibri" w:cs="Calibri" w:eastAsia="Calibri" w:hAnsi="Calibri"/>
          <w:sz w:val="20"/>
          <w:szCs w:val="20"/>
          <w:color w:val="auto"/>
        </w:rPr>
        <w:t xml:space="preserve">Φαξ:</w:t>
      </w:r>
      <w:r>
        <w:rPr xmlns:w="http://schemas.openxmlformats.org/wordprocessingml/2006/main">
          <w:rFonts w:ascii="Calibri" w:cs="Calibri" w:eastAsia="Calibri" w:hAnsi="Calibri"/>
          <w:sz w:val="20"/>
          <w:szCs w:val="20"/>
          <w:color w:val="auto"/>
        </w:rPr>
        <w:t xml:space="preserve"> 312-781-1467</w:t>
        <w:tab xmlns:w="http://schemas.openxmlformats.org/wordprocessingml/2006/main"/>
      </w:r>
      <w:r>
        <w:rPr xmlns:w="http://schemas.openxmlformats.org/wordprocessingml/2006/main">
          <w:rFonts w:ascii="Calibri" w:cs="Calibri" w:eastAsia="Calibri" w:hAnsi="Calibri"/>
          <w:sz w:val="19"/>
          <w:szCs w:val="19"/>
          <w:color w:val="auto"/>
        </w:rPr>
        <w:t xml:space="preserve">Τηλέφωνο:</w:t>
      </w:r>
      <w:r>
        <w:rPr xmlns:w="http://schemas.openxmlformats.org/wordprocessingml/2006/main">
          <w:rFonts w:ascii="Calibri" w:cs="Calibri" w:eastAsia="Calibri" w:hAnsi="Calibri"/>
          <w:sz w:val="19"/>
          <w:szCs w:val="19"/>
          <w:color w:val="auto"/>
        </w:rPr>
        <w:t xml:space="preserve"> 866-366-2382 Φαξ:</w:t>
      </w:r>
      <w:r>
        <w:rPr xmlns:w="http://schemas.openxmlformats.org/wordprocessingml/2006/main">
          <w:rFonts w:ascii="Calibri" w:cs="Calibri" w:eastAsia="Calibri" w:hAnsi="Calibri"/>
          <w:sz w:val="19"/>
          <w:szCs w:val="19"/>
          <w:color w:val="auto"/>
        </w:rPr>
        <w:t xml:space="preserve"> 202-418-521</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73660</wp:posOffset>
                </wp:positionH>
                <wp:positionV relativeFrom="paragraph">
                  <wp:posOffset>14605</wp:posOffset>
                </wp:positionV>
                <wp:extent cx="6789420" cy="0"/>
                <wp:wrapNone/>
                <wp:docPr id="33" name="Shape 3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7894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33" o:spid="_x0000_s105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8pt,1.15pt" to="540.4pt,1.15pt" o:allowincell="f" strokecolor="#000000" strokeweight="0.4799pt"/>
            </w:pict>
          </mc:Fallback>
        </mc:AlternateContent>
      </w:r>
    </w:p>
    <w:p>
      <w:pPr>
        <w:sectPr>
          <w:pgSz w:w="12240" w:h="15840" w:orient="portrait"/>
          <w:cols w:equalWidth="0" w:num="1">
            <w:col w:w="10700"/>
          </w:cols>
          <w:pgMar w:left="860" w:top="774" w:right="680" w:bottom="405" w:gutter="0" w:footer="0" w:header="0"/>
          <w:type w:val="continuous"/>
        </w:sectPr>
      </w:pPr>
    </w:p>
    <w:p>
      <w:pPr>
        <w:spacing w:after="0" w:line="7"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©2023 The Options Clearing Corporation.</w:t>
      </w:r>
      <w:r>
        <w:rPr xmlns:w="http://schemas.openxmlformats.org/wordprocessingml/2006/main">
          <w:rFonts w:ascii="Calibri" w:cs="Calibri" w:eastAsia="Calibri" w:hAnsi="Calibri"/>
          <w:sz w:val="22"/>
          <w:szCs w:val="22"/>
          <w:color w:val="auto"/>
        </w:rPr>
        <w:t xml:space="preserve"> Με επιφύλαξη κάθε νόμιμου δικαιώματος.</w:t>
      </w:r>
    </w:p>
    <w:sectPr>
      <w:pgSz w:w="12240" w:h="15840" w:orient="portrait"/>
      <w:cols w:equalWidth="0" w:num="1">
        <w:col w:w="10700"/>
      </w:cols>
      <w:pgMar w:left="860" w:top="774" w:right="680" w:bottom="405"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auto"/>
    <w:pitch w:val="variable"/>
    <w:sig w:usb0="00000000" w:usb1="00000000" w:usb2="00000000" w:usb3="00000000" w:csb0="80000000" w:csb1="00000000"/>
  </w:font>
</w:fonts>
</file>

<file path=word/numbering.xml><?xml version="1.0" encoding="utf-8"?>
<w:numbering xmlns:w="http://schemas.openxmlformats.org/wordprocessingml/2006/main">
  <w:abstractNum w:abstractNumId="0">
    <w:nsid w:val="51925C36"/>
    <w:multiLevelType w:val="hybridMultilevel"/>
    <w:lvl w:ilvl="0">
      <w:lvlJc w:val="left"/>
      <w:lvlText w:val="·"/>
      <w:numFmt w:val="bullet"/>
      <w:start w:val="1"/>
    </w:lvl>
  </w:abstractNum>
  <w:abstractNum w:abstractNumId="1">
    <w:nsid w:val="1C3A8BA7"/>
    <w:multiLevelType w:val="hybridMultilevel"/>
    <w:lvl w:ilvl="0">
      <w:lvlJc w:val="left"/>
      <w:lvlText w:val="·"/>
      <w:numFmt w:val="bullet"/>
      <w:start w:val="1"/>
    </w:lvl>
  </w:abstractNum>
  <w:abstractNum w:abstractNumId="2">
    <w:nsid w:val="58F8E84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image" Target="media/image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2024-05-20T14:23:17Z</dcterms:created>
  <dcterms:modified xsi:type="dcterms:W3CDTF">2024-05-20T14:23:17Z</dcterms:modified>
</cp:coreProperties>
</file>