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68.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68.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3154680</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8.4pt" to="568.4pt,248.4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4012565</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15.95pt" to="568.4pt,315.9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50836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083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05.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50836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083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05.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Επιλογή Τυποποιημένου Χρέους (Short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Επί Τίτλων Χρέους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ΕΕ αριθ. 1286/2014 για τα τυποποιημένα δικαιώματα προαίρεσης επί χρεογράφων (α/κ/α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χρεογράφων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οργανισμό εκκαθάρισης που είναι εγγεγραμμένος στην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ή να επικοινωνήσουν με την OCC στο 1-312-322-6200.</w:t>
      </w:r>
      <w:r>
        <w:rPr xmlns:w="http://schemas.openxmlformats.org/wordprocessingml/2006/main">
          <w:rFonts w:ascii="Calibri" w:cs="Calibri" w:eastAsia="Calibri" w:hAnsi="Calibri"/>
          <w:sz w:val="22"/>
          <w:szCs w:val="22"/>
          <w:color w:val="000000"/>
        </w:rPr>
        <w:t xml:space="preserve"> Επικαιροποιήθηκε στις 28 Δεκεμβρίου 2022 και στις 20 Απριλίου 2023.</w:t>
      </w:r>
    </w:p>
    <w:p>
      <w:pPr>
        <w:spacing w:after="0" w:line="243" w:lineRule="exact"/>
        <w:rPr>
          <w:sz w:val="24"/>
          <w:szCs w:val="24"/>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δικαιώματα προαίρεσης επί χρεωστικών τίτλων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24765</wp:posOffset>
                </wp:positionV>
                <wp:extent cx="6676390" cy="494220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42205"/>
                        </a:xfrm>
                        <a:prstGeom prst="rect">
                          <a:avLst/>
                        </a:prstGeom>
                        <a:solidFill>
                          <a:srgbClr val="BDD6EE"/>
                        </a:solidFill>
                      </wps:spPr>
                      <wps:bodyPr/>
                    </wps:wsp>
                  </a:graphicData>
                </a:graphic>
              </wp:anchor>
            </w:drawing>
          </mc:Choice>
          <mc:Fallback>
            <w:pict>
              <v:rect id="Shape 11" o:spid="_x0000_s1036" style="position:absolute;margin-left:-4.8499pt;margin-top:1.95pt;width:525.7pt;height:389.1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3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8"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Υπάρχουν δύο είδη δικαιωμάτων προαίρεσης επί χρεογράφων.</w:t>
      </w:r>
      <w:r>
        <w:rPr xmlns:w="http://schemas.openxmlformats.org/wordprocessingml/2006/main">
          <w:rFonts w:ascii="Calibri" w:cs="Calibri" w:eastAsia="Calibri" w:hAnsi="Calibri"/>
          <w:sz w:val="22"/>
          <w:szCs w:val="22"/>
          <w:color w:val="auto"/>
        </w:rPr>
        <w:t xml:space="preserve"> Τα δικαιώματα προαίρεσης με βάση την τιμή παρέχουν στον κάτοχο (αγοραστή) το δικαίωμα είτε να αγοράσει ή να πωλήσει ένα συγκεκριμένο υποκείμενο χρεωστικό τίτλο είτε να λάβει μια πληρωμή διακανονισμού τοις μετρητοίς με βάση την αξία ενός υποκείμενου χρεωστικού τίτλου.</w:t>
      </w:r>
      <w:r>
        <w:rPr xmlns:w="http://schemas.openxmlformats.org/wordprocessingml/2006/main">
          <w:rFonts w:ascii="Calibri" w:cs="Calibri" w:eastAsia="Calibri" w:hAnsi="Calibri"/>
          <w:sz w:val="22"/>
          <w:szCs w:val="22"/>
          <w:color w:val="auto"/>
        </w:rPr>
        <w:t xml:space="preserve"> Τα δικαιώματα προαίρεσης με βάση την απόδοση παρέχουν στους κατόχους το δικαίωμα να λαμβάνουν μετρητά, με βάση τη διαφορά μεταξύ της τιμής άσκησης και της αξίας μιας υποκείμενης απόδοσης.</w:t>
      </w:r>
      <w:r>
        <w:rPr xmlns:w="http://schemas.openxmlformats.org/wordprocessingml/2006/main">
          <w:rFonts w:ascii="Calibri" w:cs="Calibri" w:eastAsia="Calibri" w:hAnsi="Calibri"/>
          <w:sz w:val="22"/>
          <w:szCs w:val="22"/>
          <w:color w:val="auto"/>
        </w:rPr>
        <w:t xml:space="preserve"> Το άνοιγμα στον υποκείμενο χρεωστικό τίτλο είναι επομένως έμμεσο και για τους δύο τύπους δικαιωμάτων προαίρεσης επί χρεογράφων, διότι η αξία του δικαιώματος προαίρεσης προκύπτει από την αξία του υποκείμενου τίτλου.</w:t>
      </w:r>
      <w:r>
        <w:rPr xmlns:w="http://schemas.openxmlformats.org/wordprocessingml/2006/main">
          <w:rFonts w:ascii="Calibri" w:cs="Calibri" w:eastAsia="Calibri" w:hAnsi="Calibri"/>
          <w:sz w:val="22"/>
          <w:szCs w:val="22"/>
          <w:color w:val="auto"/>
        </w:rPr>
        <w:t xml:space="preserve"> Οι ημερομηνίες λήξης για τις επιλογές χρεωστικών τίτλων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εταιρική πράξη σχετικά με τον υποκείμενο τίτλο μετοχικού κεφαλαίου μπορεί να οδηγήσει σε αλλαγή των όρων του δικαιώματος προαίρεσης σύμφωνα με τους κανόνες της OCC, οι οποίοι μπορεί να διαφέρουν από τη μεθοδολογία που χρησιμοποιείται στις ευρωπαϊκές αγορές δικαιωμάτων προαίρεσης.</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ind w:right="8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«πριμοδότηση.»</w:t>
      </w:r>
      <w:r>
        <w:rPr xmlns:w="http://schemas.openxmlformats.org/wordprocessingml/2006/main">
          <w:rFonts w:ascii="Calibri" w:cs="Calibri" w:eastAsia="Calibri" w:hAnsi="Calibri"/>
          <w:sz w:val="22"/>
          <w:szCs w:val="22"/>
          <w:color w:val="auto"/>
        </w:rPr>
        <w:t xml:space="preserve"> Ο εκδότης του δικαιώματος προαίρεσης υποχρεούται - αν και όταν του ανατίθεται άσκηση - να εκτελέσει σύμφωνα με τους όρους είτε να αγοράσει είτε να πωλήσει τον υποκείμενο χρεωστικό τίτλο στην τιμή άσκησης είτε να παραδώσει μετρητά με βάση τη διαφορά μεταξύ της τιμής άσκησης και της αξίας του υποκείμενου χρεωστικού τίτλου.</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επιλογές που βασίζονται στην απόδοση είναι συνήθως επιλογές ευρωπαϊκού στιλ.</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της υποκείμενης ασφάλειας και την ευαισθησία της στις διακυμάνσεις των τιμών (μεταβλητότητα).</w:t>
      </w:r>
    </w:p>
    <w:p>
      <w:pPr>
        <w:spacing w:after="0" w:line="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5"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799pt"/>
            </w:pict>
          </mc:Fallback>
        </mc:AlternateContent>
      </w:r>
    </w:p>
    <w:p>
      <w:pPr>
        <w:sectPr>
          <w:pgSz w:w="12240" w:h="15840" w:orient="portrait"/>
          <w:cols w:equalWidth="0" w:num="1">
            <w:col w:w="10300"/>
          </w:cols>
          <w:pgMar w:left="940" w:top="699"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4397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439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0.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4397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439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0.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0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20" w:right="120" w:hanging="214"/>
        <w:spacing w:after="0" w:line="22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Ο φορέας εγγραφής δικαιώματος αγοράς που δεν είναι ιδιοκτήτης του υποκείμενου τίτλου (μη καλυμμένη κλήση) αναλαμβάνει τον κίνδυνο δυνητικά απεριόριστης ζημίας καθώς αυξάνεται η τιμή των υποκείμενων τόκων.</w:t>
      </w:r>
      <w:r>
        <w:rPr xmlns:w="http://schemas.openxmlformats.org/wordprocessingml/2006/main">
          <w:rFonts w:ascii="Calibri" w:cs="Calibri" w:eastAsia="Calibri" w:hAnsi="Calibri"/>
          <w:sz w:val="22"/>
          <w:szCs w:val="22"/>
          <w:color w:val="auto"/>
        </w:rPr>
        <w:t xml:space="preserve"> Ο εκδότης δικαιωμάτων προαίρεσης αναλαμβάνει τον κίνδυνο ζημίας που ισούται με τη διαφορά μεταξύ της τιμής άσκησης και του μηδενός αν η τιμή του υποκείμενου μέσου μειωθεί στο μηδέν.</w:t>
      </w:r>
      <w:r>
        <w:rPr xmlns:w="http://schemas.openxmlformats.org/wordprocessingml/2006/main">
          <w:rFonts w:ascii="Calibri" w:cs="Calibri" w:eastAsia="Calibri" w:hAnsi="Calibri"/>
          <w:sz w:val="22"/>
          <w:szCs w:val="22"/>
          <w:color w:val="auto"/>
        </w:rPr>
        <w:t xml:space="preserve"> Οι εγγραφείς τέτοιων ακάλυπτων κλήσεων και θέσεων υποχρεούνται να αναρτούν το περιθώριο ασφαλείας (που περιγράφεται κατωτέρω) με τον μεσίτη τους, γεγονός που δημιουργεί πρόσθετο κίνδυνο.</w:t>
      </w:r>
      <w:r>
        <w:rPr xmlns:w="http://schemas.openxmlformats.org/wordprocessingml/2006/main">
          <w:rFonts w:ascii="Calibri" w:cs="Calibri" w:eastAsia="Calibri" w:hAnsi="Calibri"/>
          <w:sz w:val="22"/>
          <w:szCs w:val="22"/>
          <w:color w:val="auto"/>
        </w:rPr>
        <w:t xml:space="preserve"> Ένας εκδότης ενός δικαιώματος προαίρεσης με βάση την τιμή που διακανονίζεται με φυσική παράδοση μπορεί να απαιτείται για την εκπλήρωση της υποχρέωσης αγοράς ή πώλησης του υποκείμενου δικαιώματος, οποιαδήποτε στιγμή κατά την οποία το δικαίωμα αυτό μπορεί να ασκηθεί λόγω του ύφους του.</w:t>
      </w:r>
    </w:p>
    <w:p>
      <w:pPr>
        <w:spacing w:after="0" w:line="80" w:lineRule="exact"/>
        <w:rPr>
          <w:rFonts w:ascii="Symbol" w:cs="Symbol" w:eastAsia="Symbol" w:hAnsi="Symbol"/>
          <w:sz w:val="22"/>
          <w:szCs w:val="22"/>
          <w:color w:val="auto"/>
        </w:rPr>
      </w:pPr>
    </w:p>
    <w:p>
      <w:pPr xmlns:w="http://schemas.openxmlformats.org/wordprocessingml/2006/main">
        <w:ind w:left="2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τιμές των υποκείμενων ή συναφών συμφερόντων.</w:t>
      </w:r>
    </w:p>
    <w:p>
      <w:pPr>
        <w:spacing w:after="0" w:line="76" w:lineRule="exact"/>
        <w:rPr>
          <w:rFonts w:ascii="Symbol" w:cs="Symbol" w:eastAsia="Symbol" w:hAnsi="Symbol"/>
          <w:sz w:val="22"/>
          <w:szCs w:val="22"/>
          <w:color w:val="auto"/>
        </w:rPr>
      </w:pPr>
    </w:p>
    <w:p>
      <w:pPr xmlns:w="http://schemas.openxmlformats.org/wordprocessingml/2006/main">
        <w:ind w:left="220" w:right="2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η υποκείμενη ασφάλεια για ένα δικαίωμα προαίρεσης που διακανονίζεται με φυσική παράδοση δεν είναι διαθέσιμη, οι κανόνες του OCC μπορεί να απαιτούν εναλλακτική μορφή διακανονισμού, όπως διακανονισμό τοις μετρητοίς.</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2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105"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Σενάριο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συναλλαγών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17145</wp:posOffset>
                </wp:positionV>
                <wp:extent cx="654558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1.35pt" to="515.65pt,1.3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6350</wp:posOffset>
                </wp:positionH>
                <wp:positionV relativeFrom="paragraph">
                  <wp:posOffset>13970</wp:posOffset>
                </wp:positionV>
                <wp:extent cx="0" cy="173164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3164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1.1pt" to="0.5pt,137.4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3971925</wp:posOffset>
                </wp:positionH>
                <wp:positionV relativeFrom="paragraph">
                  <wp:posOffset>13970</wp:posOffset>
                </wp:positionV>
                <wp:extent cx="0" cy="173164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3164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2.75pt,1.1pt" to="312.75pt,137.4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6545580</wp:posOffset>
                </wp:positionH>
                <wp:positionV relativeFrom="paragraph">
                  <wp:posOffset>13970</wp:posOffset>
                </wp:positionV>
                <wp:extent cx="0" cy="173164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73164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5.4pt,1.1pt" to="515.4pt,137.45pt" o:allowincell="f" strokecolor="#000000" strokeweight="0.4799pt"/>
            </w:pict>
          </mc:Fallback>
        </mc:AlternateContent>
      </w:r>
    </w:p>
    <w:p>
      <w:pPr>
        <w:sectPr>
          <w:pgSz w:w="12240" w:h="15840" w:orient="portrait"/>
          <w:cols w:equalWidth="0" w:num="1">
            <w:col w:w="10300"/>
          </w:cols>
          <w:pgMar w:left="940" w:top="706" w:right="1000" w:bottom="507" w:gutter="0" w:footer="0" w:header="0"/>
        </w:sectPr>
      </w:pPr>
    </w:p>
    <w:p>
      <w:pPr>
        <w:spacing w:after="0" w:line="167" w:lineRule="exact"/>
        <w:rPr>
          <w:sz w:val="20"/>
          <w:szCs w:val="20"/>
          <w:color w:val="auto"/>
        </w:rPr>
      </w:pPr>
    </w:p>
    <w:p>
      <w:pPr xmlns:w="http://schemas.openxmlformats.org/wordprocessingml/2006/main">
        <w:ind w:left="1160"/>
        <w:spacing w:after="0"/>
        <w:rPr>
          <w:sz w:val="20"/>
          <w:szCs w:val="20"/>
          <w:color w:val="auto"/>
        </w:rPr>
      </w:pPr>
      <w:r>
        <w:rPr xmlns:w="http://schemas.openxmlformats.org/wordprocessingml/2006/main">
          <w:rFonts w:ascii="Calibri" w:cs="Calibri" w:eastAsia="Calibri" w:hAnsi="Calibri"/>
          <w:sz w:val="17"/>
          <w:szCs w:val="17"/>
          <w:color w:val="595959"/>
        </w:rPr>
        <w:t xml:space="preserve">P / L της γραφής μιας τιμής που βασίζεται σε τιμή πώλησης (Premium $ 5?</w:t>
      </w:r>
      <w:r>
        <w:rPr xmlns:w="http://schemas.openxmlformats.org/wordprocessingml/2006/main">
          <w:rFonts w:ascii="Calibri" w:cs="Calibri" w:eastAsia="Calibri" w:hAnsi="Calibri"/>
          <w:sz w:val="17"/>
          <w:szCs w:val="17"/>
          <w:color w:val="595959"/>
        </w:rPr>
        <w:t xml:space="preserve"> Τιμή άσκησης (45 $)</w:t>
      </w:r>
    </w:p>
    <w:p>
      <w:pPr>
        <w:spacing w:after="0" w:line="140" w:lineRule="exact"/>
        <w:rPr>
          <w:sz w:val="20"/>
          <w:szCs w:val="20"/>
          <w:color w:val="auto"/>
        </w:rPr>
      </w:pPr>
    </w:p>
    <w:p>
      <w:pPr xmlns:w="http://schemas.openxmlformats.org/wordprocessingml/2006/main">
        <w:jc w:val="right"/>
        <w:spacing w:after="0"/>
        <w:tabs>
          <w:tab w:leader="none" w:pos="4020" w:val="left"/>
          <w:tab w:leader="none" w:pos="3100" w:val="left"/>
          <w:tab w:leader="none" w:pos="2160" w:val="left"/>
          <w:tab w:leader="none" w:pos="1240" w:val="left"/>
          <w:tab w:leader="none" w:pos="36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r>
    </w:p>
    <w:p>
      <w:pPr>
        <w:spacing w:after="0" w:line="13" w:lineRule="exact"/>
        <w:rPr>
          <w:sz w:val="20"/>
          <w:szCs w:val="20"/>
          <w:color w:val="auto"/>
        </w:rPr>
      </w:pPr>
    </w:p>
    <w:p>
      <w:pPr xmlns:w="http://schemas.openxmlformats.org/wordprocessingml/2006/main">
        <w:jc w:val="right"/>
        <w:ind w:right="5000"/>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715010</wp:posOffset>
            </wp:positionH>
            <wp:positionV relativeFrom="paragraph">
              <wp:posOffset>-55245</wp:posOffset>
            </wp:positionV>
            <wp:extent cx="2952115" cy="7747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extLst>
                    </a:blip>
                    <a:srcRect/>
                    <a:stretch>
                      <a:fillRect/>
                    </a:stretch>
                  </pic:blipFill>
                  <pic:spPr bwMode="auto">
                    <a:xfrm>
                      <a:off x="0" y="0"/>
                      <a:ext cx="2952115" cy="774700"/>
                    </a:xfrm>
                    <a:prstGeom prst="rect">
                      <a:avLst/>
                    </a:prstGeom>
                    <a:noFill/>
                  </pic:spPr>
                </pic:pic>
              </a:graphicData>
            </a:graphic>
          </wp:anchor>
        </w:drawing>
      </w:r>
    </w:p>
    <w:p>
      <w:pPr>
        <w:spacing w:after="0" w:line="63" w:lineRule="exact"/>
        <w:rPr>
          <w:sz w:val="20"/>
          <w:szCs w:val="20"/>
          <w:color w:val="auto"/>
        </w:rPr>
      </w:pPr>
    </w:p>
    <w:p>
      <w:pPr xmlns:w="http://schemas.openxmlformats.org/wordprocessingml/2006/main">
        <w:jc w:val="right"/>
        <w:ind w:right="500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p>
      <w:pPr>
        <w:spacing w:after="0" w:line="80" w:lineRule="exact"/>
        <w:rPr>
          <w:sz w:val="20"/>
          <w:szCs w:val="20"/>
          <w:color w:val="auto"/>
        </w:rPr>
      </w:pPr>
    </w:p>
    <w:tbl>
      <w:tblPr>
        <w:tblLayout w:type="fixed"/>
        <w:tblInd w:w="400" w:type="dxa"/>
        <w:tblCellMar>
          <w:top w:w="0" w:type="dxa"/>
          <w:left w:w="0" w:type="dxa"/>
          <w:bottom w:w="0" w:type="dxa"/>
          <w:right w:w="0" w:type="dxa"/>
        </w:tblCellMar>
      </w:tblPr>
      <w:tr>
        <w:trPr>
          <w:trHeight w:val="188"/>
        </w:trPr>
        <w:tc>
          <w:tcPr>
            <w:tcW w:w="18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7"/>
                <w:szCs w:val="17"/>
                <w:color w:val="595959"/>
                <w:w w:val="70"/>
              </w:rPr>
              <w:t xml:space="preserve">P/L</w:t>
            </w: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0" w:type="dxa"/>
            <w:vAlign w:val="bottom"/>
          </w:tcPr>
          <w:p>
            <w:pPr>
              <w:spacing w:after="0"/>
              <w:rPr>
                <w:sz w:val="1"/>
                <w:szCs w:val="1"/>
                <w:color w:val="auto"/>
              </w:rPr>
            </w:pPr>
          </w:p>
        </w:tc>
      </w:tr>
      <w:tr>
        <w:trPr>
          <w:trHeight w:val="32"/>
        </w:trPr>
        <w:tc>
          <w:tcPr>
            <w:tcW w:w="180" w:type="dxa"/>
            <w:vAlign w:val="bottom"/>
          </w:tcPr>
          <w:p>
            <w:pPr>
              <w:spacing w:after="0"/>
              <w:rPr>
                <w:sz w:val="2"/>
                <w:szCs w:val="2"/>
                <w:color w:val="auto"/>
              </w:rPr>
            </w:pPr>
          </w:p>
        </w:tc>
        <w:tc>
          <w:tcPr>
            <w:tcW w:w="40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02"/>
        </w:trPr>
        <w:tc>
          <w:tcPr>
            <w:tcW w:w="180" w:type="dxa"/>
            <w:vAlign w:val="bottom"/>
          </w:tcPr>
          <w:p>
            <w:pPr>
              <w:spacing w:after="0"/>
              <w:rPr>
                <w:sz w:val="24"/>
                <w:szCs w:val="24"/>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0" w:type="dxa"/>
            <w:vAlign w:val="bottom"/>
          </w:tcPr>
          <w:p>
            <w:pPr>
              <w:spacing w:after="0"/>
              <w:rPr>
                <w:sz w:val="1"/>
                <w:szCs w:val="1"/>
                <w:color w:val="auto"/>
              </w:rPr>
            </w:pPr>
          </w:p>
        </w:tc>
      </w:tr>
      <w:tr>
        <w:trPr>
          <w:trHeight w:val="283"/>
        </w:trPr>
        <w:tc>
          <w:tcPr>
            <w:tcW w:w="180" w:type="dxa"/>
            <w:vAlign w:val="bottom"/>
          </w:tcPr>
          <w:p>
            <w:pPr>
              <w:spacing w:after="0"/>
              <w:rPr>
                <w:sz w:val="24"/>
                <w:szCs w:val="24"/>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-30 $</w:t>
            </w:r>
          </w:p>
        </w:tc>
        <w:tc>
          <w:tcPr>
            <w:tcW w:w="0" w:type="dxa"/>
            <w:vAlign w:val="bottom"/>
          </w:tcPr>
          <w:p>
            <w:pPr>
              <w:spacing w:after="0"/>
              <w:rPr>
                <w:sz w:val="1"/>
                <w:szCs w:val="1"/>
                <w:color w:val="auto"/>
              </w:rPr>
            </w:pPr>
          </w:p>
        </w:tc>
      </w:tr>
    </w:tbl>
    <w:p>
      <w:pPr xmlns:w="http://schemas.openxmlformats.org/wordprocessingml/2006/main">
        <w:ind w:left="2520"/>
        <w:spacing w:after="0" w:line="181" w:lineRule="auto"/>
        <w:rPr>
          <w:sz w:val="20"/>
          <w:szCs w:val="20"/>
          <w:color w:val="auto"/>
        </w:rPr>
      </w:pPr>
      <w:r>
        <w:rPr xmlns:w="http://schemas.openxmlformats.org/wordprocessingml/2006/main">
          <w:rFonts w:ascii="Calibri" w:cs="Calibri" w:eastAsia="Calibri" w:hAnsi="Calibri"/>
          <w:sz w:val="17"/>
          <w:szCs w:val="17"/>
          <w:color w:val="595959"/>
        </w:rPr>
        <w:t xml:space="preserve">Αγοραία τιμή του υποκείμενου μέσου</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274955</wp:posOffset>
                </wp:positionV>
                <wp:extent cx="654558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21.65pt" to="515.65pt,21.65pt" o:allowincell="f" strokecolor="#000000" strokeweight="0.4799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 (</w:t>
      </w:r>
      <w:r>
        <w:rPr xmlns:w="http://schemas.openxmlformats.org/wordprocessingml/2006/main">
          <w:rFonts w:ascii="Calibri" w:cs="Calibri" w:eastAsia="Calibri" w:hAnsi="Calibri"/>
          <w:sz w:val="16"/>
          <w:szCs w:val="16"/>
          <w:u w:val="single" w:color="auto"/>
          <w:color w:val="FF0000"/>
        </w:rPr>
        <w:t xml:space="preserve">Κόκκινο Σημείο Του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15 $</w:t>
      </w:r>
    </w:p>
    <w:p>
      <w:pPr>
        <w:spacing w:after="0" w:line="120" w:lineRule="exact"/>
        <w:rPr>
          <w:sz w:val="20"/>
          <w:szCs w:val="20"/>
          <w:color w:val="auto"/>
        </w:rPr>
      </w:pPr>
    </w:p>
    <w:p>
      <w:pPr xmlns:w="http://schemas.openxmlformats.org/wordprocessingml/2006/main">
        <w:ind w:left="720" w:hanging="357"/>
        <w:spacing w:after="0"/>
        <w:tabs>
          <w:tab w:leader="none" w:pos="72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-$25</w:t>
      </w:r>
    </w:p>
    <w:p>
      <w:pPr xmlns:w="http://schemas.openxmlformats.org/wordprocessingml/2006/main">
        <w:ind w:left="360"/>
        <w:spacing w:after="0" w:line="211" w:lineRule="auto"/>
        <w:tabs>
          <w:tab w:leader="none" w:pos="700" w:val="left"/>
          <w:tab w:leader="none" w:pos="21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sz w:val="20"/>
          <w:szCs w:val="20"/>
          <w:color w:val="auto"/>
        </w:rPr>
        <w:tab xmlns:w="http://schemas.openxmlformats.org/wordprocessingml/2006/main"/>
      </w:r>
      <w:r>
        <w:rPr xmlns:w="http://schemas.openxmlformats.org/wordprocessingml/2006/main">
          <w:rFonts w:ascii="Calibri" w:cs="Calibri" w:eastAsia="Calibri" w:hAnsi="Calibri"/>
          <w:sz w:val="16"/>
          <w:szCs w:val="16"/>
          <w:color w:val="auto"/>
        </w:rPr>
        <w:t xml:space="preserve">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+$25</w:t>
      </w:r>
    </w:p>
    <w:p>
      <w:pPr>
        <w:spacing w:after="0" w:line="16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6"/>
          <w:szCs w:val="16"/>
          <w:u w:val="single" w:color="auto"/>
          <w:color w:val="00B050"/>
        </w:rPr>
        <w:t xml:space="preserve">Σημείο Πράσινου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35 $</w:t>
      </w:r>
    </w:p>
    <w:p>
      <w:pPr>
        <w:spacing w:after="0" w:line="123" w:lineRule="exact"/>
        <w:rPr>
          <w:sz w:val="20"/>
          <w:szCs w:val="20"/>
          <w:color w:val="auto"/>
        </w:rPr>
      </w:pPr>
    </w:p>
    <w:p>
      <w:pPr xmlns:w="http://schemas.openxmlformats.org/wordprocessingml/2006/main">
        <w:ind w:left="720" w:hanging="357"/>
        <w:spacing w:after="0"/>
        <w:tabs>
          <w:tab w:leader="none" w:pos="72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-$5</w:t>
      </w:r>
    </w:p>
    <w:p>
      <w:pPr xmlns:w="http://schemas.openxmlformats.org/wordprocessingml/2006/main">
        <w:ind w:left="360"/>
        <w:spacing w:after="0" w:line="211" w:lineRule="auto"/>
        <w:tabs>
          <w:tab w:leader="none" w:pos="700" w:val="left"/>
          <w:tab w:leader="none" w:pos="220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sz w:val="20"/>
          <w:szCs w:val="20"/>
          <w:color w:val="auto"/>
        </w:rPr>
        <w:tab xmlns:w="http://schemas.openxmlformats.org/wordprocessingml/2006/main"/>
      </w:r>
      <w:r>
        <w:rPr xmlns:w="http://schemas.openxmlformats.org/wordprocessingml/2006/main">
          <w:rFonts w:ascii="Calibri" w:cs="Calibri" w:eastAsia="Calibri" w:hAnsi="Calibri"/>
          <w:sz w:val="16"/>
          <w:szCs w:val="16"/>
          <w:color w:val="auto"/>
        </w:rPr>
        <w:t xml:space="preserve">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+$5</w:t>
      </w:r>
    </w:p>
    <w:p>
      <w:pPr>
        <w:spacing w:after="0" w:line="210" w:lineRule="exact"/>
        <w:rPr>
          <w:sz w:val="20"/>
          <w:szCs w:val="20"/>
          <w:color w:val="auto"/>
        </w:rPr>
      </w:pPr>
    </w:p>
    <w:p>
      <w:pPr xmlns:w="http://schemas.openxmlformats.org/wordprocessingml/2006/main">
        <w:ind w:right="18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μείον το ασφάλιστρο.</w:t>
      </w:r>
    </w:p>
    <w:p>
      <w:pPr>
        <w:spacing w:after="0" w:line="70" w:lineRule="exact"/>
        <w:rPr>
          <w:sz w:val="20"/>
          <w:szCs w:val="20"/>
          <w:color w:val="auto"/>
        </w:rPr>
      </w:pPr>
    </w:p>
    <w:p>
      <w:pPr>
        <w:sectPr>
          <w:pgSz w:w="12240" w:h="15840" w:orient="portrait"/>
          <w:cols w:equalWidth="0" w:num="2">
            <w:col w:w="5960" w:space="400"/>
            <w:col w:w="3940"/>
          </w:cols>
          <w:pgMar w:left="940" w:top="706" w:right="1000" w:bottom="507" w:gutter="0" w:footer="0" w:header="0"/>
          <w:type w:val="continuous"/>
        </w:sectPr>
      </w:pPr>
    </w:p>
    <w:p>
      <w:pPr xmlns:w="http://schemas.openxmlformats.org/wordprocessingml/2006/main">
        <w:ind w:right="12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λάβετε ποικίλλει ανάλογα με το πώς η αξία των υποκείμενων αλλαγών με την πάροδο του χρόνου και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το σύνολο του κόστους του ίδιου του προϊόντος, αλλά</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6897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1.4pt,1.6pt" o:allowincell="f" strokecolor="#000000" strokeweight="0.4799pt"/>
            </w:pict>
          </mc:Fallback>
        </mc:AlternateContent>
      </w:r>
    </w:p>
    <w:p>
      <w:pPr>
        <w:sectPr>
          <w:pgSz w:w="12240" w:h="15840" w:orient="portrait"/>
          <w:cols w:equalWidth="0" w:num="1">
            <w:col w:w="10300"/>
          </w:cols>
          <w:pgMar w:left="940" w:top="706" w:right="1000" w:bottom="507" w:gutter="0" w:footer="0" w:header="0"/>
          <w:type w:val="continuous"/>
        </w:sectPr>
      </w:pPr>
    </w:p>
    <w:bookmarkStart w:id="2" w:name="page3"/>
    <w:bookmarkEnd w:id="2"/>
    <w:p>
      <w:pPr xmlns:w="http://schemas.openxmlformats.org/wordprocessingml/2006/main">
        <w:ind w:left="220" w:right="24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860425</wp:posOffset>
                </wp:positionV>
                <wp:extent cx="669036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7.75pt" to="568.4pt,67.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6670040</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25.2pt" to="568.4pt,525.2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8212455</wp:posOffset>
                </wp:positionV>
                <wp:extent cx="669036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46.65pt" to="568.4pt,646.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57945"/>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579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1.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57945"/>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579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1.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δεν μπορεί να περιλαμβάνει όλα τα έξοδα που πληρώνετε στο σύμβουλό σας ή το διανομέα και δεν λαμβάνει υπόψη την προσωπική σας φορολογική κατάσταση, η οποία μπορεί επίσης να επηρεάσει το ποσό που λαμβάνετε.</w:t>
      </w:r>
    </w:p>
    <w:p>
      <w:pPr>
        <w:spacing w:after="0" w:line="161" w:lineRule="exact"/>
        <w:rPr>
          <w:sz w:val="20"/>
          <w:szCs w:val="20"/>
          <w:color w:val="auto"/>
        </w:rPr>
      </w:pPr>
    </w:p>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υπάρχει ακόμα κίνδυνος η OCC να μην έχει επαρκείς οικονομικούς πόρους για να διευθετήσει τις υποχρεώσεις και μπορεί να υποστεί ζημία μέχρι οποιοδήποτε ποσό που σας οφείλεται.</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78"/>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51"/>
        </w:trPr>
        <w:tc>
          <w:tcPr>
            <w:tcW w:w="5200" w:type="dxa"/>
            <w:vAlign w:val="bottom"/>
            <w:tcBorders>
              <w:right w:val="single" w:sz="8" w:color="auto"/>
            </w:tcBorders>
          </w:tcPr>
          <w:p>
            <w:pPr xmlns:w="http://schemas.openxmlformats.org/wordprocessingml/2006/main">
              <w:ind w:left="100"/>
              <w:spacing w:after="0" w:line="228"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2"/>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άτομο θα σας δώσει πληροφορίες σχετικά με</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αυτές οι δαπάνες και πώς επηρεάζουν την επένδυσή σας.</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8"/>
        </w:trPr>
        <w:tc>
          <w:tcPr>
            <w:tcW w:w="5200" w:type="dxa"/>
            <w:vAlign w:val="bottom"/>
            <w:tcBorders>
              <w:right w:val="single" w:sz="8" w:color="auto"/>
            </w:tcBorders>
          </w:tcPr>
          <w:p>
            <w:pPr xmlns:w="http://schemas.openxmlformats.org/wordprocessingml/2006/main">
              <w:ind w:left="100"/>
              <w:spacing w:after="0" w:line="239" w:lineRule="exact"/>
              <w:rPr>
                <w:sz w:val="20"/>
                <w:szCs w:val="20"/>
                <w:color w:val="auto"/>
              </w:rPr>
            </w:pPr>
            <w:r>
              <w:rPr xmlns:w="http://schemas.openxmlformats.org/wordprocessingml/2006/main">
                <w:rFonts w:ascii="Calibri" w:cs="Calibri" w:eastAsia="Calibri" w:hAnsi="Calibri"/>
                <w:sz w:val="22"/>
                <w:szCs w:val="22"/>
                <w:color w:val="auto"/>
              </w:rPr>
              <w:t xml:space="preserve">Το συνολικό κόστος για τα δικαιώματα προαίρεσης χρεογράφων εξαρτάται από</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πολλαπλοί 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καταβληθέν κόστος</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από τον κάτοχο στον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Οι επιπτώσεις στην πριμοδότηση περιλαμβάνουν, αλλά δεν περιορίζονται σε</w:t>
            </w:r>
          </w:p>
        </w:tc>
        <w:tc>
          <w:tcPr>
            <w:tcW w:w="100" w:type="dxa"/>
            <w:vAlign w:val="bottom"/>
          </w:tcPr>
          <w:p>
            <w:pPr>
              <w:spacing w:after="0"/>
              <w:rPr>
                <w:sz w:val="16"/>
                <w:szCs w:val="16"/>
                <w:color w:val="auto"/>
              </w:rPr>
            </w:pPr>
          </w:p>
        </w:tc>
        <w:tc>
          <w:tcPr>
            <w:tcW w:w="1440" w:type="dxa"/>
            <w:vAlign w:val="bottom"/>
            <w:tcBorders>
              <w:right w:val="single" w:sz="8" w:color="auto"/>
            </w:tcBorders>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6"/>
                <w:szCs w:val="16"/>
                <w:color w:val="auto"/>
              </w:rPr>
            </w:pPr>
          </w:p>
        </w:tc>
        <w:tc>
          <w:tcPr>
            <w:tcW w:w="2080" w:type="dxa"/>
            <w:vAlign w:val="bottom"/>
            <w:tcBorders>
              <w:right w:val="single" w:sz="8" w:color="auto"/>
            </w:tcBorders>
            <w:gridSpan w:val="5"/>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80" w:type="dxa"/>
            <w:vAlign w:val="bottom"/>
          </w:tcPr>
          <w:p>
            <w:pPr>
              <w:spacing w:after="0"/>
              <w:rPr>
                <w:sz w:val="16"/>
                <w:szCs w:val="16"/>
                <w:color w:val="auto"/>
              </w:rPr>
            </w:pPr>
          </w:p>
        </w:tc>
        <w:tc>
          <w:tcPr>
            <w:tcW w:w="1420" w:type="dxa"/>
            <w:vAlign w:val="bottom"/>
            <w:tcBorders>
              <w:right w:val="single" w:sz="8" w:color="auto"/>
            </w:tcBorders>
          </w:tcPr>
          <w:p>
            <w:pPr>
              <w:spacing w:after="0"/>
              <w:rPr>
                <w:sz w:val="16"/>
                <w:szCs w:val="16"/>
                <w:color w:val="auto"/>
              </w:rPr>
            </w:pPr>
          </w:p>
        </w:tc>
        <w:tc>
          <w:tcPr>
            <w:tcW w:w="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τιμή/απόδοση του υποκείμενου τίτλου, χρόνος έως</w:t>
            </w:r>
          </w:p>
        </w:tc>
        <w:tc>
          <w:tcPr>
            <w:tcW w:w="100" w:type="dxa"/>
            <w:vAlign w:val="bottom"/>
          </w:tcPr>
          <w:p>
            <w:pPr>
              <w:spacing w:after="0"/>
              <w:rPr>
                <w:sz w:val="11"/>
                <w:szCs w:val="11"/>
                <w:color w:val="auto"/>
              </w:rPr>
            </w:pPr>
          </w:p>
        </w:tc>
        <w:tc>
          <w:tcPr>
            <w:tcW w:w="1440" w:type="dxa"/>
            <w:vAlign w:val="bottom"/>
            <w:tcBorders>
              <w:right w:val="single" w:sz="8" w:color="auto"/>
            </w:tcBorders>
            <w:vMerge w:val="continue"/>
          </w:tcPr>
          <w:p>
            <w:pPr>
              <w:spacing w:after="0"/>
              <w:rPr>
                <w:sz w:val="11"/>
                <w:szCs w:val="11"/>
                <w:color w:val="auto"/>
              </w:rPr>
            </w:pP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continue"/>
          </w:tcPr>
          <w:p>
            <w:pPr>
              <w:spacing w:after="0"/>
              <w:rPr>
                <w:sz w:val="11"/>
                <w:szCs w:val="11"/>
                <w:color w:val="auto"/>
              </w:rPr>
            </w:pPr>
          </w:p>
        </w:tc>
        <w:tc>
          <w:tcPr>
            <w:tcW w:w="80" w:type="dxa"/>
            <w:vAlign w:val="bottom"/>
          </w:tcPr>
          <w:p>
            <w:pPr>
              <w:spacing w:after="0"/>
              <w:rPr>
                <w:sz w:val="11"/>
                <w:szCs w:val="11"/>
                <w:color w:val="auto"/>
              </w:rPr>
            </w:pPr>
          </w:p>
        </w:tc>
        <w:tc>
          <w:tcPr>
            <w:tcW w:w="1420" w:type="dxa"/>
            <w:vAlign w:val="bottom"/>
            <w:tcBorders>
              <w:right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λήξη του δικαιώματος προαίρεσης και τιμή άσκησης.</w:t>
            </w:r>
            <w:r>
              <w:rPr xmlns:w="http://schemas.openxmlformats.org/wordprocessingml/2006/main">
                <w:rFonts w:ascii="Calibri" w:cs="Calibri" w:eastAsia="Calibri" w:hAnsi="Calibri"/>
                <w:sz w:val="22"/>
                <w:szCs w:val="22"/>
                <w:color w:val="auto"/>
              </w:rPr>
              <w:t xml:space="preserve"> Επιλογές</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8"/>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η επένδυση συνεπάγεται πρόσθετες δαπάνες που περιλαμβάνουν φόρους</w:t>
            </w: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1420" w:type="dxa"/>
            <w:vAlign w:val="bottom"/>
            <w:tcBorders>
              <w:right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5200" w:type="dxa"/>
            <w:vAlign w:val="bottom"/>
            <w:tcBorders>
              <w:right w:val="single" w:sz="8" w:color="auto"/>
            </w:tcBorders>
          </w:tcPr>
          <w:p>
            <w:pPr xmlns:w="http://schemas.openxmlformats.org/wordprocessingml/2006/main">
              <w:ind w:left="100"/>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εκτιμήσεις, κόστος συναλλαγής και περιθώριο</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απαιτήσεις που μπορούν να επηρεάσουν σημαντικά το κέρδος ή</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4"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6"/>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ζημία.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προμήθειες (οι οποίες επιβάλλονται κατά το άνοιγμα, το κλείσιμο,</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και μεταβιβάσεων), αλλά μπορεί επίσης να</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200" w:type="dxa"/>
            <w:vAlign w:val="bottom"/>
            <w:tcBorders>
              <w:right w:val="single" w:sz="8" w:color="auto"/>
            </w:tcBorders>
            <w:vMerge w:val="continue"/>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80" w:type="dxa"/>
            <w:vAlign w:val="bottom"/>
          </w:tcPr>
          <w:p>
            <w:pPr>
              <w:spacing w:after="0"/>
              <w:rPr>
                <w:sz w:val="18"/>
                <w:szCs w:val="18"/>
                <w:color w:val="auto"/>
              </w:rPr>
            </w:pPr>
          </w:p>
        </w:tc>
        <w:tc>
          <w:tcPr>
            <w:tcW w:w="1420" w:type="dxa"/>
            <w:vAlign w:val="bottom"/>
            <w:tcBorders>
              <w:right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200" w:type="dxa"/>
            <w:vAlign w:val="bottom"/>
            <w:tcBorders>
              <w:right w:val="single" w:sz="8" w:color="auto"/>
            </w:tcBorders>
          </w:tcPr>
          <w:p>
            <w:pPr xmlns:w="http://schemas.openxmlformats.org/wordprocessingml/2006/main">
              <w:ind w:left="100"/>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περιλαμβάνουν το περιθώριο κέρδους και το κόστος των τόκων.</w:t>
            </w:r>
            <w:r>
              <w:rPr xmlns:w="http://schemas.openxmlformats.org/wordprocessingml/2006/main">
                <w:rFonts w:ascii="Calibri" w:cs="Calibri" w:eastAsia="Calibri" w:hAnsi="Calibri"/>
                <w:sz w:val="22"/>
                <w:szCs w:val="22"/>
                <w:color w:val="auto"/>
              </w:rPr>
              <w:t xml:space="preserve"> Περιθώριο</w:t>
            </w: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τέλος</w:t>
            </w:r>
          </w:p>
        </w:tc>
        <w:tc>
          <w:tcPr>
            <w:tcW w:w="80" w:type="dxa"/>
            <w:vAlign w:val="bottom"/>
          </w:tcPr>
          <w:p>
            <w:pPr>
              <w:spacing w:after="0"/>
              <w:rPr>
                <w:sz w:val="18"/>
                <w:szCs w:val="18"/>
                <w:color w:val="auto"/>
              </w:rPr>
            </w:pPr>
          </w:p>
        </w:tc>
        <w:tc>
          <w:tcPr>
            <w:tcW w:w="142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4"/>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που πρέπει να κατατεθούν από τον συγγραφέα μαζί με τον</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μεσιτική επιχείρηση ως εξασφάλιση για την υποχρέωση, ως</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2"/>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που ισχύουν, για την αγορά ή πώληση του υποκείμενου επιτοκίου ή για την πληρωμή</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το ποσό του διακανονισμού τοις μετρητοίς.</w:t>
            </w:r>
            <w:r>
              <w:rPr xmlns:w="http://schemas.openxmlformats.org/wordprocessingml/2006/main">
                <w:rFonts w:ascii="Calibri" w:cs="Calibri" w:eastAsia="Calibri" w:hAnsi="Calibri"/>
                <w:sz w:val="22"/>
                <w:szCs w:val="22"/>
                <w:color w:val="auto"/>
              </w:rPr>
              <w:t xml:space="preserve"> Σε περίπτωση άσκησης δικαιώματος προαίρεσης</w:t>
            </w:r>
          </w:p>
        </w:tc>
        <w:tc>
          <w:tcPr>
            <w:tcW w:w="100" w:type="dxa"/>
            <w:vAlign w:val="bottom"/>
            <w:tcBorders>
              <w:bottom w:val="single" w:sz="8" w:color="auto"/>
            </w:tcBorders>
            <w:shd w:val="clear" w:color="auto" w:fill="DADADA"/>
          </w:tcPr>
          <w:p>
            <w:pPr>
              <w:spacing w:after="0"/>
              <w:rPr>
                <w:sz w:val="14"/>
                <w:szCs w:val="14"/>
                <w:color w:val="auto"/>
              </w:rPr>
            </w:pPr>
          </w:p>
        </w:tc>
        <w:tc>
          <w:tcPr>
            <w:tcW w:w="3480" w:type="dxa"/>
            <w:vAlign w:val="bottom"/>
            <w:tcBorders>
              <w:bottom w:val="single" w:sz="8" w:color="auto"/>
            </w:tcBorders>
            <w:gridSpan w:val="6"/>
            <w:vMerge w:val="continue"/>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76"/>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και εκχωρημένο, ένα πρόγραμμα εγγραφής ενδέχεται να επιβαρυνθεί με πρόσθετα έξοδα.</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0" w:lineRule="exact"/>
        <w:rPr>
          <w:sz w:val="20"/>
          <w:szCs w:val="20"/>
          <w:color w:val="auto"/>
        </w:rPr>
      </w:pPr>
    </w:p>
    <w:p>
      <w:pPr xmlns:w="http://schemas.openxmlformats.org/wordprocessingml/2006/main">
        <w:ind w:left="220" w:right="4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1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τη σύμβαση ή τις συμβάσεις δικαιωμάτων προαίρεσης και να καθορίζουν αν θα κλείσει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3" w:lineRule="exact"/>
        <w:rPr>
          <w:sz w:val="20"/>
          <w:szCs w:val="20"/>
          <w:color w:val="auto"/>
        </w:rPr>
      </w:pPr>
    </w:p>
    <w:p>
      <w:pPr xmlns:w="http://schemas.openxmlformats.org/wordprocessingml/2006/main">
        <w:ind w:left="220" w:right="460"/>
        <w:spacing w:after="0" w:line="21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2" w:lineRule="exact"/>
        <w:rPr>
          <w:sz w:val="20"/>
          <w:szCs w:val="20"/>
          <w:color w:val="auto"/>
        </w:rPr>
      </w:pPr>
    </w:p>
    <w:p>
      <w:pPr xmlns:w="http://schemas.openxmlformats.org/wordprocessingml/2006/main">
        <w:ind w:left="34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tab xmlns:w="http://schemas.openxmlformats.org/wordprocessingml/2006/main"/>
      </w:r>
      <w:r>
        <w:rPr xmlns:w="http://schemas.openxmlformats.org/wordprocessingml/2006/main">
          <w:rFonts w:ascii="Calibri" w:cs="Calibri" w:eastAsia="Calibri" w:hAnsi="Calibri"/>
          <w:sz w:val="22"/>
          <w:szCs w:val="22"/>
          <w:color w:val="auto"/>
        </w:rPr>
        <w:t xml:space="preserve">ΗΠΑ</w:t>
      </w:r>
      <w:r>
        <w:rPr xmlns:w="http://schemas.openxmlformats.org/wordprocessingml/2006/main">
          <w:rFonts w:ascii="Calibri" w:cs="Calibri" w:eastAsia="Calibri" w:hAnsi="Calibri"/>
          <w:sz w:val="22"/>
          <w:szCs w:val="22"/>
          <w:color w:val="auto"/>
        </w:rPr>
        <w:t xml:space="preserve"> Επιτροπή Κεφαλαιαγοράς</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tab xmlns:w="http://schemas.openxmlformats.org/wordprocessingml/2006/main"/>
      </w: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2"/>
          <w:szCs w:val="22"/>
          <w:color w:val="auto"/>
        </w:rPr>
        <w:t xml:space="preserve">100 F Street, N.E.</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386-ΒΟΗΘΕΙΑ (4357) Φαξ:</w:t>
      </w:r>
      <w:r>
        <w:rPr xmlns:w="http://schemas.openxmlformats.org/wordprocessingml/2006/main">
          <w:rFonts w:ascii="Calibri" w:cs="Calibri" w:eastAsia="Calibri" w:hAnsi="Calibri"/>
          <w:sz w:val="22"/>
          <w:szCs w:val="22"/>
          <w:color w:val="auto"/>
        </w:rPr>
        <w:t xml:space="preserve"> (86) 397-3290</w:t>
        <w:tab xmlns:w="http://schemas.openxmlformats.org/wordprocessingml/2006/main"/>
      </w:r>
      <w:r>
        <w:rPr xmlns:w="http://schemas.openxmlformats.org/wordprocessingml/2006/main">
          <w:rFonts w:ascii="Calibri" w:cs="Calibri" w:eastAsia="Calibri" w:hAnsi="Calibri"/>
          <w:sz w:val="21"/>
          <w:szCs w:val="21"/>
          <w:color w:val="auto"/>
        </w:rPr>
        <w:t xml:space="preserve">Ουάσινγκτον, DC 20549-0213 Φαξ:</w:t>
      </w:r>
      <w:r>
        <w:rPr xmlns:w="http://schemas.openxmlformats.org/wordprocessingml/2006/main">
          <w:rFonts w:ascii="Calibri" w:cs="Calibri" w:eastAsia="Calibri" w:hAnsi="Calibri"/>
          <w:sz w:val="21"/>
          <w:szCs w:val="21"/>
          <w:color w:val="auto"/>
        </w:rPr>
        <w:t xml:space="preserve">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16510</wp:posOffset>
                </wp:positionV>
                <wp:extent cx="669036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3pt" to="532.4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640"/>
      </w:cols>
      <w:pgMar w:left="720" w:top="774" w:right="880" w:bottom="201"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E69698D"/>
    <w:multiLevelType w:val="hybridMultilevel"/>
    <w:lvl w:ilvl="0">
      <w:lvlJc w:val="left"/>
      <w:lvlText w:val="·"/>
      <w:numFmt w:val="bullet"/>
      <w:start w:val="1"/>
    </w:lvl>
  </w:abstractNum>
  <w:abstractNum w:abstractNumId="1">
    <w:nsid w:val="39E95C36"/>
    <w:multiLevelType w:val="hybridMultilevel"/>
    <w:lvl w:ilvl="0">
      <w:lvlJc w:val="left"/>
      <w:lvlText w:val="·"/>
      <w:numFmt w:val="bullet"/>
      <w:start w:val="1"/>
    </w:lvl>
  </w:abstractNum>
  <w:abstractNum w:abstractNumId="2">
    <w:nsid w:val="2FEE79AE"/>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2024-05-20T14:33:41Z</dcterms:created>
  <dcterms:modified xsi:type="dcterms:W3CDTF">2024-05-20T14:33:41Z</dcterms:modified>
</cp:coreProperties>
</file>